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Interpretable Deep Learning of Structure–Toxicity Relationships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A Faithfulness-Based Comparison of Sequence and Graph Molecular Representations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Results Tables — Numerical Data Only</w:t>
      </w:r>
    </w:p>
    <w:p>
      <w:pPr>
        <w:pStyle w:val="Heading1"/>
        <w:spacing w:after="160" w:before="400"/>
      </w:pPr>
      <w:r>
        <w:t xml:space="preserve">1. Dataset and Ground-Truth Coverage</w:t>
      </w:r>
    </w:p>
    <w:p>
      <w:pPr>
        <w:spacing w:after="100" w:before="280"/>
      </w:pPr>
      <w:r>
        <w:rPr>
          <w:b/>
          <w:bCs/>
          <w:sz w:val="20"/>
          <w:szCs w:val="20"/>
        </w:rPr>
        <w:t xml:space="preserve">Table 1. </w:t>
      </w:r>
      <w:r>
        <w:rPr>
          <w:i/>
          <w:iCs/>
          <w:sz w:val="20"/>
          <w:szCs w:val="20"/>
        </w:rPr>
        <w:t xml:space="preserve">Dataset composition, split, and ground-truth coverage.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6048"/>
      </w:tblGrid>
      <w:tr>
        <w:trPr>
          <w:tblHeader/>
        </w:trPr>
        <w:tc>
          <w:tcPr>
            <w:tcW w:type="dxa" w:w="4032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604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compounds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7,278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 (train / valid / test)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5,094 / 727 / 1,457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SMILES parse failures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/ 7,278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balance, train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52.9% mutagenic / 47.1% non-mutagenic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balance, test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59.7% mutagenic / 40.3% non-mutagenic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Ground-truth reference set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6,506 molecules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Ground-truth coverage, full dataset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6,426 / 7,278 (88.3%)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Ground-truth coverage, test set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1,217 / 1,457 (83.5%)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Ground-truth atom-index alignment failures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/ 6,426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 disagreement, reference vs. TDC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/ 6,426 (0.06%)</w:t>
            </w:r>
          </w:p>
        </w:tc>
      </w:tr>
    </w:tbl>
    <w:p>
      <w:pPr>
        <w:spacing w:after="260" w:before="100"/>
      </w:pPr>
      <w:r>
        <w:rPr>
          <w:i/>
          <w:iCs/>
          <w:sz w:val="17"/>
          <w:szCs w:val="17"/>
        </w:rPr>
        <w:t xml:space="preserve">Note. Class balance shift between train and test splits is an expected consequence of scaffold splitting (structure-based, not label-based), not a data error.</w:t>
      </w:r>
    </w:p>
    <w:p>
      <w:pPr>
        <w:pStyle w:val="Heading1"/>
        <w:spacing w:after="160" w:before="400"/>
      </w:pPr>
      <w:r>
        <w:t xml:space="preserve">2. Model Predictive Performance</w:t>
      </w:r>
    </w:p>
    <w:p>
      <w:pPr>
        <w:spacing w:after="100" w:before="280"/>
      </w:pPr>
      <w:r>
        <w:rPr>
          <w:b/>
          <w:bCs/>
          <w:sz w:val="20"/>
          <w:szCs w:val="20"/>
        </w:rPr>
        <w:t xml:space="preserve">Table 2. </w:t>
      </w:r>
      <w:r>
        <w:rPr>
          <w:i/>
          <w:iCs/>
          <w:sz w:val="20"/>
          <w:szCs w:val="20"/>
        </w:rPr>
        <w:t xml:space="preserve">Test-set predictive performance, Ames mutagenicity (n = 1,457).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318"/>
        <w:gridCol w:w="2318"/>
        <w:gridCol w:w="2419"/>
      </w:tblGrid>
      <w:tr>
        <w:trPr>
          <w:tblHeader/>
        </w:trPr>
        <w:tc>
          <w:tcPr>
            <w:tcW w:type="dxa" w:w="3024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23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AUROC</w:t>
            </w:r>
          </w:p>
        </w:tc>
        <w:tc>
          <w:tcPr>
            <w:tcW w:type="dxa" w:w="23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AUPRC</w:t>
            </w:r>
          </w:p>
        </w:tc>
        <w:tc>
          <w:tcPr>
            <w:tcW w:type="dxa" w:w="2419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Accuracy</w:t>
            </w:r>
          </w:p>
        </w:tc>
      </w:tr>
      <w:t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GIN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0.7845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0.8322</w:t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0.6788</w:t>
            </w:r>
          </w:p>
        </w:tc>
      </w:tr>
      <w:t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ChemBERTa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0.8068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0.8558</w:t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0.7447</w:t>
            </w:r>
          </w:p>
        </w:tc>
      </w:tr>
      <w:tr>
        <w:tc>
          <w:tcPr>
            <w:tcW w:type="dxa" w:w="30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 (ChemBERTa − GIN)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0.022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0.024</w:t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0.066</w:t>
            </w:r>
          </w:p>
        </w:tc>
      </w:tr>
    </w:tbl>
    <w:p>
      <w:pPr>
        <w:spacing w:after="260" w:before="100"/>
      </w:pPr>
      <w:r>
        <w:rPr>
          <w:i/>
          <w:iCs/>
          <w:sz w:val="17"/>
          <w:szCs w:val="17"/>
        </w:rPr>
        <w:t xml:space="preserve">Note. Both models remain well clear of the ~0.65 accuracy “explainability cliff” identified by Khasanova &amp; Tetko (2026), confirming attribution comparisons are not confounded by an accuracy gap.</w:t>
      </w:r>
    </w:p>
    <w:p>
      <w:pPr>
        <w:pStyle w:val="Heading1"/>
        <w:spacing w:after="160" w:before="400"/>
      </w:pPr>
      <w:r>
        <w:t xml:space="preserve">3. Attribution Extraction Diagnostics</w:t>
      </w:r>
    </w:p>
    <w:p>
      <w:pPr>
        <w:spacing w:after="100" w:before="280"/>
      </w:pPr>
      <w:r>
        <w:rPr>
          <w:b/>
          <w:bCs/>
          <w:sz w:val="20"/>
          <w:szCs w:val="20"/>
        </w:rPr>
        <w:t xml:space="preserve">Table 3. </w:t>
      </w:r>
      <w:r>
        <w:rPr>
          <w:i/>
          <w:iCs/>
          <w:sz w:val="20"/>
          <w:szCs w:val="20"/>
        </w:rPr>
        <w:t xml:space="preserve">Verification diagnostics for the attribution extraction pipeline.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2923"/>
        <w:gridCol w:w="2923"/>
      </w:tblGrid>
      <w:tr>
        <w:trPr>
          <w:tblHeader/>
        </w:trPr>
        <w:tc>
          <w:tcPr>
            <w:tcW w:type="dxa" w:w="4234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Diagnostic</w:t>
            </w:r>
          </w:p>
        </w:tc>
        <w:tc>
          <w:tcPr>
            <w:tcW w:type="dxa" w:w="2923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GIN</w:t>
            </w:r>
          </w:p>
        </w:tc>
        <w:tc>
          <w:tcPr>
            <w:tcW w:type="dxa" w:w="2923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ChemBERTa</w:t>
            </w:r>
          </w:p>
        </w:tc>
      </w:tr>
      <w:tr>
        <w:tc>
          <w:tcPr>
            <w:tcW w:type="dxa" w:w="4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Completeness-axiom relative error (example molecule)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1.4%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0.5%</w:t>
            </w:r>
          </w:p>
        </w:tc>
      </w:tr>
      <w:tr>
        <w:tc>
          <w:tcPr>
            <w:tcW w:type="dxa" w:w="4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Extraction success rate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1,457 / 1,457 (100%)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1,457 / 1,457 (100%)</w:t>
            </w:r>
          </w:p>
        </w:tc>
      </w:tr>
      <w:tr>
        <w:tc>
          <w:tcPr>
            <w:tcW w:type="dxa" w:w="4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Unassigned attribution mass, mean (full test set)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 (atom-native)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48.7%</w:t>
            </w:r>
          </w:p>
        </w:tc>
      </w:tr>
      <w:tr>
        <w:tc>
          <w:tcPr>
            <w:tcW w:type="dxa" w:w="4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Unassigned attribution mass, median / s.d.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48.7% / 11.7%</w:t>
            </w:r>
          </w:p>
        </w:tc>
      </w:tr>
      <w:tr>
        <w:tc>
          <w:tcPr>
            <w:tcW w:type="dxa" w:w="423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Correlation, unassigned mass vs. ring count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 = 0.227</w:t>
            </w:r>
          </w:p>
        </w:tc>
      </w:tr>
    </w:tbl>
    <w:p>
      <w:pPr>
        <w:pageBreakBefore/>
      </w:pPr>
    </w:p>
    <w:p>
      <w:pPr>
        <w:pStyle w:val="Heading1"/>
        <w:spacing w:after="160" w:before="400"/>
      </w:pPr>
      <w:r>
        <w:t xml:space="preserve">4. Faithfulness Metrics — Primary Results</w:t>
      </w:r>
    </w:p>
    <w:p>
      <w:pPr>
        <w:spacing w:after="100" w:before="280"/>
      </w:pPr>
      <w:r>
        <w:rPr>
          <w:b/>
          <w:bCs/>
          <w:sz w:val="20"/>
          <w:szCs w:val="20"/>
        </w:rPr>
        <w:t xml:space="preserve">Table 4. </w:t>
      </w:r>
      <w:r>
        <w:rPr>
          <w:i/>
          <w:iCs/>
          <w:sz w:val="20"/>
          <w:szCs w:val="20"/>
        </w:rPr>
        <w:t xml:space="preserve">Random-baseline-corrected faithfulness scores, Ames mutagenicity test set (n = 1,457). Higher values indicate greater faithfulness for all four metrics.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8"/>
        <w:gridCol w:w="1818"/>
        <w:gridCol w:w="1818"/>
        <w:gridCol w:w="991"/>
        <w:gridCol w:w="1818"/>
        <w:gridCol w:w="1818"/>
      </w:tblGrid>
      <w:tr>
        <w:trPr>
          <w:tblHeader/>
        </w:trPr>
        <w:tc>
          <w:tcPr>
            <w:tcW w:type="dxa" w:w="18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18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GIN (M ± SD)</w:t>
            </w:r>
          </w:p>
        </w:tc>
        <w:tc>
          <w:tcPr>
            <w:tcW w:type="dxa" w:w="18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ChemBERTa (M ± SD)</w:t>
            </w:r>
          </w:p>
        </w:tc>
        <w:tc>
          <w:tcPr>
            <w:tcW w:type="dxa" w:w="991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t(1456)</w:t>
            </w:r>
          </w:p>
        </w:tc>
        <w:tc>
          <w:tcPr>
            <w:tcW w:type="dxa" w:w="18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 (paired t)</w:t>
            </w:r>
          </w:p>
        </w:tc>
        <w:tc>
          <w:tcPr>
            <w:tcW w:type="dxa" w:w="18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 (Wilcoxon)</w:t>
            </w:r>
          </w:p>
        </w:tc>
      </w:tr>
      <w:tr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Comprehensiveness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0.0142 ± 0.0511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0.1084 ± 0.1615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21.32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5.84 × 10⁻⁸⁸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3.12 × 10⁻⁸³</w:t>
            </w:r>
          </w:p>
        </w:tc>
      </w:tr>
      <w:tr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Sufficiency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0.0000 ± 0.0000ᵃ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0.0846 ± 0.1043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30.96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4.41 × 10⁻¹⁶²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2.44 × 10⁻¹⁴⁰</w:t>
            </w:r>
          </w:p>
        </w:tc>
      </w:tr>
      <w:tr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Deletion AUC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0.0098 ± 0.0261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0.0634 ± 0.0961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20.82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1.72 × 10⁻⁸⁴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1.07 × 10⁻⁷⁸</w:t>
            </w:r>
          </w:p>
        </w:tc>
      </w:tr>
      <w:tr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Insertion AUC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0.0159 ± 0.0329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0.0945 ± 0.0849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32.62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1.22 × 10⁻¹⁷⁵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3.71 × 10⁻¹⁵⁷</w:t>
            </w:r>
          </w:p>
        </w:tc>
      </w:tr>
    </w:tbl>
    <w:p>
      <w:pPr>
        <w:spacing w:after="260" w:before="100"/>
      </w:pPr>
      <w:r>
        <w:rPr>
          <w:i/>
          <w:iCs/>
          <w:sz w:val="17"/>
          <w:szCs w:val="17"/>
        </w:rPr>
        <w:t xml:space="preserve">Note. a. GIN sufficiency is not a rounding artifact: raw values agree to 15+ decimal places regardless of which atoms are retained, confirmed via direct inspection of pre-sigmoid logits (≈ −55.9, corresponding to sigmoid ≈ 6.9 × 10⁻²⁷) — a float-underflow floor caused by sum-pooling under extreme atom removal, not a computational error.</w:t>
      </w:r>
    </w:p>
    <w:p>
      <w:pPr>
        <w:pStyle w:val="Heading1"/>
        <w:spacing w:after="160" w:before="400"/>
      </w:pPr>
      <w:r>
        <w:t xml:space="preserve">5. Toxicophore Recovery</w:t>
      </w:r>
    </w:p>
    <w:p>
      <w:pPr>
        <w:spacing w:after="100" w:before="280"/>
      </w:pPr>
      <w:r>
        <w:rPr>
          <w:b/>
          <w:bCs/>
          <w:sz w:val="20"/>
          <w:szCs w:val="20"/>
        </w:rPr>
        <w:t xml:space="preserve">Table 5. </w:t>
      </w:r>
      <w:r>
        <w:rPr>
          <w:i/>
          <w:iCs/>
          <w:sz w:val="20"/>
          <w:szCs w:val="20"/>
        </w:rPr>
        <w:t xml:space="preserve">Subset construction for toxicophore-recovery analysis.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520"/>
      </w:tblGrid>
      <w:tr>
        <w:trPr>
          <w:tblHeader/>
        </w:trPr>
        <w:tc>
          <w:tcPr>
            <w:tcW w:type="dxa" w:w="75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Subset</w:t>
            </w:r>
          </w:p>
        </w:tc>
        <w:tc>
          <w:tcPr>
            <w:tcW w:type="dxa" w:w="252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Ground-truth-evaluable test molecules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1,217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 With ≥ 1 true toxicophore atom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650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  Also TDC-labeled mutagenic (primary analysis subset)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479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  Alert-flagged but TDC-labeled non-mutagenic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171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Molecules successfully scored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475 / 479</w:t>
            </w:r>
          </w:p>
        </w:tc>
      </w:tr>
    </w:tbl>
    <w:p>
      <w:pPr>
        <w:spacing w:after="100" w:before="200"/>
      </w:pPr>
      <w:r>
        <w:rPr>
          <w:b/>
          <w:bCs/>
          <w:sz w:val="20"/>
          <w:szCs w:val="20"/>
        </w:rPr>
        <w:t xml:space="preserve">Table 5b. </w:t>
      </w:r>
      <w:r>
        <w:rPr>
          <w:i/>
          <w:iCs/>
          <w:sz w:val="20"/>
          <w:szCs w:val="20"/>
        </w:rPr>
        <w:t xml:space="preserve">IoU recovery of ground-truth toxicophore atoms (primary subset, n = 475).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226"/>
        <w:gridCol w:w="2318"/>
        <w:gridCol w:w="2318"/>
      </w:tblGrid>
      <w:tr>
        <w:trPr>
          <w:tblHeader/>
        </w:trPr>
        <w:tc>
          <w:tcPr>
            <w:tcW w:type="dxa" w:w="22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3226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Corrected IoU (M ± SD)</w:t>
            </w:r>
          </w:p>
        </w:tc>
        <w:tc>
          <w:tcPr>
            <w:tcW w:type="dxa" w:w="23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vs. zero, p</w:t>
            </w:r>
          </w:p>
        </w:tc>
        <w:tc>
          <w:tcPr>
            <w:tcW w:type="dxa" w:w="23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Paired vs. GIN, p</w:t>
            </w:r>
          </w:p>
        </w:tc>
      </w:tr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GIN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0.0960 ± 0.2160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2.49 × 10⁻²⁰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ChemBERTa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0.1463 ± 0.2151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4.44 × 10⁻⁴¹</w:t>
            </w:r>
          </w:p>
        </w:tc>
        <w:tc>
          <w:tcPr>
            <w:tcW w:type="dxa" w:w="23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2.90 × 10⁻⁴</w:t>
            </w:r>
          </w:p>
        </w:tc>
      </w:tr>
    </w:tbl>
    <w:p>
      <w:pPr>
        <w:pStyle w:val="Heading1"/>
        <w:spacing w:after="160" w:before="400"/>
      </w:pPr>
      <w:r>
        <w:t xml:space="preserve">6. Robustness I — Distribution-Shift Stratification</w:t>
      </w:r>
    </w:p>
    <w:p>
      <w:pPr>
        <w:spacing w:after="100" w:before="280"/>
      </w:pPr>
      <w:r>
        <w:rPr>
          <w:b/>
          <w:bCs/>
          <w:sz w:val="20"/>
          <w:szCs w:val="20"/>
        </w:rPr>
        <w:t xml:space="preserve">Table 6. </w:t>
      </w:r>
      <w:r>
        <w:rPr>
          <w:i/>
          <w:iCs/>
          <w:sz w:val="20"/>
          <w:szCs w:val="20"/>
        </w:rPr>
        <w:t xml:space="preserve">Faithfulness stratified by nearest-neighbor Tanimoto similarity to the training set (median split, similarity = 0.492).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621"/>
        <w:gridCol w:w="1714"/>
        <w:gridCol w:w="1714"/>
        <w:gridCol w:w="1814"/>
      </w:tblGrid>
      <w:tr>
        <w:trPr>
          <w:tblHeader/>
        </w:trPr>
        <w:tc>
          <w:tcPr>
            <w:tcW w:type="dxa" w:w="221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2621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Stratum</w:t>
            </w:r>
          </w:p>
        </w:tc>
        <w:tc>
          <w:tcPr>
            <w:tcW w:type="dxa" w:w="1714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GIN</w:t>
            </w:r>
          </w:p>
        </w:tc>
        <w:tc>
          <w:tcPr>
            <w:tcW w:type="dxa" w:w="1714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ChemBERTa</w:t>
            </w:r>
          </w:p>
        </w:tc>
        <w:tc>
          <w:tcPr>
            <w:tcW w:type="dxa" w:w="1814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Comprehensiveness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similarity (n=729)</w:t>
            </w:r>
          </w:p>
        </w:tc>
        <w:tc>
          <w:tcPr>
            <w:tcW w:type="dxa" w:w="1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0.0055</w:t>
            </w:r>
          </w:p>
        </w:tc>
        <w:tc>
          <w:tcPr>
            <w:tcW w:type="dxa" w:w="1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0.1124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1.94 × 10⁻⁶¹</w:t>
            </w:r>
          </w:p>
        </w:tc>
      </w:tr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Comprehensiveness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similarity / OOD (n=728)</w:t>
            </w:r>
          </w:p>
        </w:tc>
        <w:tc>
          <w:tcPr>
            <w:tcW w:type="dxa" w:w="1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0.0228</w:t>
            </w:r>
          </w:p>
        </w:tc>
        <w:tc>
          <w:tcPr>
            <w:tcW w:type="dxa" w:w="1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0.1044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4.59 × 10⁻³²</w:t>
            </w:r>
          </w:p>
        </w:tc>
      </w:tr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Toxicophore IoU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similarity (n=280)</w:t>
            </w:r>
          </w:p>
        </w:tc>
        <w:tc>
          <w:tcPr>
            <w:tcW w:type="dxa" w:w="1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0.0901</w:t>
            </w:r>
          </w:p>
        </w:tc>
        <w:tc>
          <w:tcPr>
            <w:tcW w:type="dxa" w:w="1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0.1367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6.43 × 10⁻³</w:t>
            </w:r>
          </w:p>
        </w:tc>
      </w:tr>
      <w:tr>
        <w:tc>
          <w:tcPr>
            <w:tcW w:type="dxa" w:w="22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Toxicophore IoU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similarity / OOD (n=195)</w:t>
            </w:r>
          </w:p>
        </w:tc>
        <w:tc>
          <w:tcPr>
            <w:tcW w:type="dxa" w:w="17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0.1045</w:t>
            </w:r>
          </w:p>
        </w:tc>
        <w:tc>
          <w:tcPr>
            <w:tcW w:type="dxa" w:w="17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0.1602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1.71 × 10⁻²</w:t>
            </w:r>
          </w:p>
        </w:tc>
      </w:tr>
    </w:tbl>
    <w:p>
      <w:pPr>
        <w:spacing w:after="260" w:before="100"/>
      </w:pPr>
      <w:r>
        <w:rPr>
          <w:i/>
          <w:iCs/>
          <w:sz w:val="17"/>
          <w:szCs w:val="17"/>
        </w:rPr>
        <w:t xml:space="preserve">Note. The ChemBERTa advantage is stable across strata, indicating the effect is not an artifact of test-set structural overlap with training data.</w:t>
      </w:r>
    </w:p>
    <w:p>
      <w:pPr>
        <w:pageBreakBefore/>
      </w:pPr>
    </w:p>
    <w:p>
      <w:pPr>
        <w:pStyle w:val="Heading1"/>
        <w:spacing w:after="160" w:before="400"/>
      </w:pPr>
      <w:r>
        <w:t xml:space="preserve">7. Robustness II — Second-Endpoint Replication (Tox21/SR-ARE)</w:t>
      </w:r>
    </w:p>
    <w:p>
      <w:pPr>
        <w:spacing w:after="100" w:before="280"/>
      </w:pPr>
      <w:r>
        <w:rPr>
          <w:b/>
          <w:bCs/>
          <w:sz w:val="20"/>
          <w:szCs w:val="20"/>
        </w:rPr>
        <w:t xml:space="preserve">Table 7. </w:t>
      </w:r>
      <w:r>
        <w:rPr>
          <w:i/>
          <w:iCs/>
          <w:sz w:val="20"/>
          <w:szCs w:val="20"/>
        </w:rPr>
        <w:t xml:space="preserve">Endpoint and split summary.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6048"/>
      </w:tblGrid>
      <w:tr>
        <w:trPr>
          <w:tblHeader/>
        </w:trPr>
        <w:tc>
          <w:tcPr>
            <w:tcW w:type="dxa" w:w="4032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6048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Positive rate, endpoint used (SR-ARE)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16.2% (942 / 5,832)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 (train / valid / test)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4,077 / 582 / 1,166</w:t>
            </w:r>
          </w:p>
        </w:tc>
      </w:tr>
      <w:tr>
        <w:tc>
          <w:tcPr>
            <w:tcW w:type="dxa" w:w="403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weight (pos_weight)</w:t>
            </w:r>
          </w:p>
        </w:tc>
        <w:tc>
          <w:tcPr>
            <w:tcW w:type="dxa" w:w="604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6.45</w:t>
            </w:r>
          </w:p>
        </w:tc>
      </w:tr>
    </w:tbl>
    <w:p>
      <w:pPr>
        <w:spacing w:after="100" w:before="200"/>
      </w:pPr>
      <w:r>
        <w:rPr>
          <w:b/>
          <w:bCs/>
          <w:sz w:val="20"/>
          <w:szCs w:val="20"/>
        </w:rPr>
        <w:t xml:space="preserve">Table 7b. </w:t>
      </w:r>
      <w:r>
        <w:rPr>
          <w:i/>
          <w:iCs/>
          <w:sz w:val="20"/>
          <w:szCs w:val="20"/>
        </w:rPr>
        <w:t xml:space="preserve">Test-set predictive performance and calibration (n = 1,166).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2822"/>
      </w:tblGrid>
      <w:tr>
        <w:trPr>
          <w:tblHeader/>
        </w:trPr>
        <w:tc>
          <w:tcPr>
            <w:tcW w:type="dxa" w:w="1814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1814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AUROC</w:t>
            </w:r>
          </w:p>
        </w:tc>
        <w:tc>
          <w:tcPr>
            <w:tcW w:type="dxa" w:w="1814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AUPRC</w:t>
            </w:r>
          </w:p>
        </w:tc>
        <w:tc>
          <w:tcPr>
            <w:tcW w:type="dxa" w:w="1814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2822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Predicted positive rate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GIN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0.6925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0.375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30.5%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90.1% (true rate 22.8%)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ChemBERTa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0.6695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0.374</w:t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53.2%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59.9% (true rate 22.8%)</w:t>
            </w:r>
          </w:p>
        </w:tc>
      </w:tr>
    </w:tbl>
    <w:p>
      <w:pPr>
        <w:spacing w:after="100" w:before="200"/>
      </w:pPr>
      <w:r>
        <w:rPr>
          <w:b/>
          <w:bCs/>
          <w:sz w:val="20"/>
          <w:szCs w:val="20"/>
        </w:rPr>
        <w:t xml:space="preserve">Table 7c. </w:t>
      </w:r>
      <w:r>
        <w:rPr>
          <w:i/>
          <w:iCs/>
          <w:sz w:val="20"/>
          <w:szCs w:val="20"/>
        </w:rPr>
        <w:t xml:space="preserve">Comprehensiveness on a confirmatory sample (n = 300). Paired t(299) = 3.316, p = 1.03 × 10⁻³; Wilcoxon p = 1.10 × 10⁻³.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504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Comprehensiveness, corrected (M ± SD)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−0.0075 ± 0.2753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ChemBERTa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0.0505 ± 0.1197</w:t>
            </w:r>
          </w:p>
        </w:tc>
      </w:tr>
    </w:tbl>
    <w:p>
      <w:pPr>
        <w:spacing w:after="260" w:before="100"/>
      </w:pPr>
      <w:r>
        <w:rPr>
          <w:i/>
          <w:iCs/>
          <w:sz w:val="17"/>
          <w:szCs w:val="17"/>
        </w:rPr>
        <w:t xml:space="preserve">Note. GIN’s calibration collapse (90.1% predicted positive vs. 22.8% true rate) is discussed in the write-up as a fifth independent instance of the architectural fragility pattern observed throughout this study.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2026-09-14T18:18:15.916Z</dcterms:created>
  <dcterms:modified xsi:type="dcterms:W3CDTF">2026-09-14T18:18:15.924Z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