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Those 17 also carry the higher mechanism-pattern grades: mean grade 0.588 inside the top 20 against 0.167 outside it, with no fully consistent variant ranked below the cut (S9 Text).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[3,4,5-6]. Explicitly comparing the same substitution in isolated and assembled coordinates, however, remains uncommon. MAVISp is a broad modular framework that includes stability and local-interaction analyses across supplied structural contexts [4].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[7-8,9,10,11,12].</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[13].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w:t>
      </w:r>
    </w:p>
    <w:p w14:paraId="76BFCB5B" w14: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[14]. Experimental structures replaced predicted models when the relevant site or interface lacked adequate confidence: 2HHB for hemoglobin, 6XI7 for KRAS-RAF1, and 1JM7 for BRCA1-BARD1. The BRCA1 tandem-BRCT monomer panel used 1JNX. All energy calculations used FoldX 5.1 [15]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[16].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w14:paraId="4F385B75" w14: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w14:paraId="1F025441" w14:textId="77777777">
      <w:r>
        <w:rPr>
          <w:rFonts w:ascii="Arial" w:hAnsi="Arial" w:eastAsia="Arial"/>
        </w:rPr>
        <w:t>For structural prioritization, the positive class was the 20 variants with a modeled structural mechanism and the negative class was the 27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[17]. VWF R1334Q shows the value of evaluating the assembled complex. Its isolated-subunit prediction was nearly neutral (0.01 kcal/mol), but assembled-complex stability and binding changed by 4.73 and 4.11 kcal/mol [18]. The profile therefore proposes a combined assembly-and-binding lesion rather than an isolated-fold lesion.</w:t>
      </w:r>
    </w:p>
    <w:p w14:paraId="3313C524" w14: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This and every subsequent analysis use the same prespecified cohort of 61 variants across 14 protein systems described in Section 2.2 and listed in Table 1 and S1 Table; no variant was added or removed after scoring began. At the 2.5 kcal/mol reference threshold, COMAVI recovered the expected combination of structural effects with a mechanism-pattern score of 39.5/57 = 0.693. This partial-credit result represents 39.5 total points across 57 graded variants, not 39.5 exact matches. The interaction and BRCT subsets had similar scores, so neither cohort determined the pooled result. Because the data span 14 clustered systems, 0.693 is benchmark-specific pattern agreement rather than universal accuracy.</w:t>
      </w:r>
    </w:p>
    <w:p w14:paraId="292EBD6B" w14: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w14:paraId="3F5DB9E1" w14: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w14:paraId="09B0D47B" w14:textId="77777777">
      <w:r>
        <w:t>No single system carried the result. Resampling entire protein systems gave a 95% interval of 0.604-0.790 for the mechanism-pattern score, and leave-one-system-out values ranged from 0.676 to 0.713. Permutation, replicate-noise, and continuity audits are reported in S7 Text.</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Across the prespecified menu the two error types move in opposite directions and by unequal amounts. Of the 28 variants with a committed structural mechanism, the number missed rises from 10 at 1.0 kcal/mol to 12 at the 2.5 kcal/mol reference and 16 at the substitution-adjusted threshold; of the 29 variants curated to lack a modeled lesion, the number given a false structural call falls from 15 to 5 and then 4 across the same range. Raising the threshold from 1.0 to 2.5 therefore removes ten false calls at a cost of two missed mechanisms, while the final step to the substitution-adjusted threshold removes one more false call at a cost of four. Fig 3 and Table 3 show the full tradeoff.</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 3.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3.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0.714</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0.448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0.607</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0.759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0.500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0.862</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r>
        <w:rPr>
          <w:sz w:val="18"/>
        </w:rPr>
        <w:t>Mechanism recovery is the mean grade among 28 variants with known structural mechanisms; correct rejection is the corresponding rate among 29 variants curated to lack a lesion on the modeled axes. Measured effects recovered counts experimentally destabilizing comparisons with |predicted ΔΔG| at or above the stated threshold.</w:t>
      </w:r>
    </w:p>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 4.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[13-19]. The present benchmark contains no direct measured energy comparator for the assembled-complex stability calculation, so that axis is evaluated against literature-defined direction and mechanism expectations rather than energy calibration. Fig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 5.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S4 Table and S3 Fig.</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w14:paraId="240C37D4" w14:textId="77777777">
      <w:r>
        <w:rPr>
          <w:rFonts w:ascii="Arial" w:hAnsi="Arial" w:eastAsia="Arial"/>
        </w:rPr>
        <w:t>The priority score placed 17 of 20 structural-mechanism variants in the top 20 and 18 of 20 in the top 25. Across the complete 47-variant ranking, structural-prioritization ROC AUC was 0.917 and average precision was 0.923. These are internal ranking results, not external performance estimates, pathogenicity estimates, or calibrated probabilities.</w:t>
      </w:r>
    </w:p>
    <w:p w14:paraId="03C676DE" w14:textId="77777777">
      <w:r>
        <w:rPr>
          <w:rFonts w:ascii="Arial" w:hAnsi="Arial" w:eastAsia="Arial"/>
        </w:rPr>
        <w:t>Fig 6 shows the score distributions and recovery within a limited experimental budget. The soft-saturation transformation, component ROC curves, score bands, leave-one-system-out influence, and alternative fixed formulas are reported in S5 Text and S4 Fig.</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 6.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 7. Pathogenicity ranking, structural prioritization, and mechanism interpretation are distinct. (a-c) AlphaMissense pathogenicity scores are compared with the structural-context tier, the strongest usable absolute predicted energy, and the priority score. Orange points are pathogenic or pathogenic gain-of-function variants; blue points are benign; the gray band marks the AlphaMissense ambiguous range. (D)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[20].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[2-21].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7BA3F3C6" w14: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w14:paraId="7483A273" w14: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w14:paraId="2C325533" w14: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w14:paraId="51C5DE2A" w14: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w14:paraId="3081B6B6" w14:textId="77777777">
      <w:pPr>
        <w:spacing w:after="50" w:line="240" w:lineRule="auto"/>
        <w:ind w:left="360" w:hanging="360"/>
      </w:pPr>
      <w:r>
        <w:rPr>
          <w:rFonts w:eastAsia="Aptos"/>
          <w:sz w:val="17"/>
        </w:rPr>
        <w:t>6. Stephenson JD, Totoo P, Burke DF, Jänes J, Beltrao P, Martin MJ. ProtVar: mapping and contextualizing human missense variation. Nucleic Acids Res. 2024;52(W1):W140–W147. doi:10.1093/nar/gkae413</w:t>
      </w:r>
    </w:p>
    <w:p w14:paraId="1BD7FCAF" w14:textId="77777777">
      <w:pPr>
        <w:spacing w:after="50" w:line="240" w:lineRule="auto"/>
        <w:ind w:left="360" w:hanging="360"/>
      </w:pPr>
      <w:r>
        <w:rPr>
          <w:rFonts w:eastAsia="Aptos"/>
          <w:sz w:val="17"/>
        </w:rPr>
        <w:t>7. Buß O, Rudat J, Ochsenreither K. FoldX as protein engineering tool: better than random based approaches? Comput Struct Biotechnol J. 2018;16:25–33. doi:10.1016/j.csbj.2018.01.002</w:t>
      </w:r>
    </w:p>
    <w:p w14:paraId="70658034" w14:textId="77777777">
      <w:pPr>
        <w:spacing w:after="50" w:line="240" w:lineRule="auto"/>
        <w:ind w:left="360" w:hanging="360"/>
      </w:pPr>
      <w:r>
        <w:rPr>
          <w:rFonts w:eastAsia="Aptos"/>
          <w:sz w:val="17"/>
        </w:rPr>
        <w:t>8. Livesey BJ, Marsh JA. Using deep mutational scanning to benchmark variant effect predictors and identify disease mutations. Mol Syst Biol. 2020;16(7):e9380. doi:10.15252/msb.20199380</w:t>
      </w:r>
    </w:p>
    <w:p w14:paraId="1091D2FC" w14:textId="77777777">
      <w:pPr>
        <w:spacing w:after="50" w:line="240" w:lineRule="auto"/>
        <w:ind w:left="360" w:hanging="360"/>
      </w:pPr>
      <w:r>
        <w:rPr>
          <w:rFonts w:eastAsia="Aptos"/>
          <w:sz w:val="17"/>
        </w:rPr>
        <w:t>9.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10. Arnaudi M, Utichi M, Beltrame L, et al. RosettaDDGPrediction for high-throughput mutational scans: from stability to binding. Protein Sci. 2023;32(1):e4527. doi:10.1002/pro.4527</w:t>
      </w:r>
    </w:p>
    <w:p w14:paraId="7B4B3A6E" w14:textId="77777777">
      <w:pPr>
        <w:spacing w:after="50" w:line="240" w:lineRule="auto"/>
        <w:ind w:left="360" w:hanging="360"/>
      </w:pPr>
      <w:r>
        <w:rPr>
          <w:rFonts w:eastAsia="Aptos"/>
          <w:sz w:val="17"/>
        </w:rPr>
        <w:t>11.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12. Vliora A, Tiberti M, Papaleo E. Evaluating FoldX 5.1 for MAVISp stability data collection. bioRxiv. 2026. doi:10.64898/2026.03.31.715598</w:t>
      </w:r>
    </w:p>
    <w:p w14:paraId="20137826" w14:textId="77777777">
      <w:pPr>
        <w:spacing w:after="50" w:line="240" w:lineRule="auto"/>
        <w:ind w:left="360" w:hanging="360"/>
      </w:pPr>
      <w:r>
        <w:rPr>
          <w:rFonts w:eastAsia="Aptos"/>
          <w:sz w:val="17"/>
        </w:rPr>
        <w:t>13. Rowling PJE, Cook R, Itzhaki LS. Toward classification of BRCA1 missense variants using a biophysical approach. J Biol Chem. 2010;285(26):20080–20087. doi:10.1074/jbc.M109.088922</w:t>
      </w:r>
    </w:p>
    <w:p w14:paraId="7E1EB8C9" w14:textId="77777777">
      <w:pPr>
        <w:spacing w:after="50" w:line="240" w:lineRule="auto"/>
        <w:ind w:left="360" w:hanging="360"/>
      </w:pPr>
      <w:r>
        <w:rPr>
          <w:rFonts w:eastAsia="Aptos"/>
          <w:sz w:val="17"/>
        </w:rPr>
        <w:t>14. Abramson J, Adler J, Dunger J, et al. Accurate structure prediction of biomolecular interactions with AlphaFold 3. Nature. 2024;630(8016):493–500. doi:10.1038/s41586-024-07487-w</w:t>
      </w:r>
    </w:p>
    <w:p w14:paraId="2177705F" w14:textId="77777777">
      <w:pPr>
        <w:spacing w:after="50" w:line="240" w:lineRule="auto"/>
        <w:ind w:left="360" w:hanging="360"/>
      </w:pPr>
      <w:r>
        <w:rPr>
          <w:rFonts w:eastAsia="Aptos"/>
          <w:sz w:val="17"/>
        </w:rPr>
        <w:t>15. Schymkowitz J, Borg J, Stricher F, Nys R, Rousseau F, Serrano L. The FoldX web server: an online force field. Nucleic Acids Res. 2005;33(Web Server issue):W382–W388. doi:10.1093/nar/gki387</w:t>
      </w:r>
    </w:p>
    <w:p w14:paraId="4D96043D" w14:textId="77777777">
      <w:pPr>
        <w:spacing w:after="50" w:line="240" w:lineRule="auto"/>
        <w:ind w:left="360" w:hanging="360"/>
      </w:pPr>
      <w:r>
        <w:rPr>
          <w:rFonts w:eastAsia="Aptos"/>
          <w:sz w:val="17"/>
        </w:rPr>
        <w:t>16. Sapozhnikov Y, Patel JS, Ytreberg FM, Miller CR. Statistical modeling to quantify the uncertainty of FoldX-predicted protein folding and binding stability. BMC Bioinformatics. 2023;24:426. doi:10.1186/s12859-023-05537-0</w:t>
      </w:r>
    </w:p>
    <w:p w14:paraId="3F1D7737" w14:textId="77777777">
      <w:pPr>
        <w:spacing w:after="50" w:line="240" w:lineRule="auto"/>
        <w:ind w:left="360" w:hanging="360"/>
      </w:pPr>
      <w:r>
        <w:rPr>
          <w:rFonts w:eastAsia="Aptos"/>
          <w:sz w:val="17"/>
        </w:rPr>
        <w:t>17. Pechtl IC, Kavanagh D, McIntosh N, Harris CL, Barlow PN. Disease-associated N-terminal complement factor H mutations perturb cofactor and decay-accelerating activities. J Biol Chem. 2011;286(13):11082–11090. doi:10.1074/jbc.M110.211839</w:t>
      </w:r>
    </w:p>
    <w:p w14:paraId="7E701068" w14:textId="77777777">
      <w:pPr>
        <w:spacing w:after="50" w:line="240" w:lineRule="auto"/>
        <w:ind w:left="360" w:hanging="360"/>
      </w:pPr>
      <w:r>
        <w:rPr>
          <w:rFonts w:eastAsia="Aptos"/>
          <w:sz w:val="17"/>
        </w:rPr>
        <w:t>18. Tischer A, Machha VR, Rösner V, et al. Structure-resolved dynamics of type 2M von Willebrand disease. J Thromb Haemost. 2025;23(4):1215–1228. doi:10.1016/j.jtha.2024.12.026</w:t>
      </w:r>
    </w:p>
    <w:p w14:paraId="4700D2A6" w14:textId="77777777">
      <w:pPr>
        <w:spacing w:after="50" w:line="240" w:lineRule="auto"/>
        <w:ind w:left="360" w:hanging="360"/>
      </w:pPr>
      <w:r>
        <w:rPr>
          <w:rFonts w:eastAsia="Aptos"/>
          <w:sz w:val="17"/>
        </w:rPr>
        <w:t>19. Bonaventura J, Riggs A. Hemoglobin Kansas, a human hemoglobin with a neutral amino acid substitution and an abnormal oxygen equilibrium. J Biol Chem. 1968;243(5):980–991. doi:10.1016/S0021-9258(18)93612-4</w:t>
      </w:r>
    </w:p>
    <w:p w14:paraId="36F9969B" w14:textId="77777777">
      <w:pPr>
        <w:spacing w:after="50" w:line="240" w:lineRule="auto"/>
        <w:ind w:left="360" w:hanging="360"/>
      </w:pPr>
      <w:r>
        <w:rPr>
          <w:rFonts w:eastAsia="Aptos"/>
          <w:sz w:val="17"/>
        </w:rPr>
        <w:t>20. Franklin by Genoox. Genomic variant interpretation platform. Genoox Ltd. https://franklin.genoox.com (accessed 2026).</w:t>
      </w:r>
    </w:p>
    <w:p w14:paraId="768E5669" w14:textId="77777777">
      <w:pPr>
        <w:spacing w:after="50" w:line="240" w:lineRule="auto"/>
        <w:ind w:left="360" w:hanging="360"/>
      </w:pPr>
      <w:r>
        <w:rPr>
          <w:rFonts w:eastAsia="Aptos"/>
          <w:sz w:val="17"/>
        </w:rPr>
        <w:t>21.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5BCBDD67" w14:textId="77777777">
      <w:pPr>
        <w:spacing w:after="50" w:line="240" w:lineRule="auto"/>
        <w:ind w:left="360" w:hanging="360"/>
      </w:pPr>
      <w:r>
        <w:rPr>
          <w:rFonts w:eastAsia="Aptos"/>
          <w:sz w:val="17"/>
        </w:rPr>
        <w:t>22. Grantham R. Amino acid difference formula to help explain protein evolution. Science. 1974;185(4154):862–864. doi:10.1126/science.185.4154.862</w:t>
      </w:r>
    </w:p>
    <w:p w14:paraId="441BE418" w14:textId="77777777">
      <w:pPr>
        <w:spacing w:after="50" w:line="240" w:lineRule="auto"/>
        <w:ind w:left="360" w:hanging="360"/>
      </w:pPr>
      <w:r>
        <w:rPr>
          <w:rFonts w:eastAsia="Aptos"/>
          <w:sz w:val="17"/>
        </w:rPr>
        <w:t>23.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24. Nielsen SV, Stein A, Dinitzen AB, Papaleo E, Tatham MH, Poulsen EG, et al. Predicting the impact of Lynch syndrome-causing missense mutations from structural calculations. PLoS Genet. 2017;13(4):e1006739. doi:10.1371/journal.pgen.1006739</w:t>
      </w:r>
    </w:p>
    <w:p w14:paraId="059E0FFC" w14:textId="77777777">
      <w:pPr>
        <w:spacing w:after="50" w:line="240" w:lineRule="auto"/>
        <w:ind w:left="360" w:hanging="360"/>
      </w:pPr>
      <w:r>
        <w:rPr>
          <w:rFonts w:eastAsia="Aptos"/>
          <w:sz w:val="17"/>
        </w:rPr>
        <w:t>25. Jankauskaitė J, Jiménez-García B, Dapkūnas J, Fernández-Recio J, Moal IH. SKEMPI 2.0: an updated benchmark of changes in protein–protein binding energy, kinetics and thermodynamics upon mutation. Bioinformatics. 2019;35(3):462–469. doi:10.1093/bioinformatics/bty635</w:t>
      </w:r>
    </w:p>
    <w:p w14:paraId="00F4427B" w14:textId="77777777">
      <w:pPr>
        <w:spacing w:after="50" w:line="240" w:lineRule="auto"/>
        <w:ind w:left="360" w:hanging="360"/>
      </w:pPr>
      <w:r>
        <w:rPr>
          <w:rFonts w:eastAsia="Aptos"/>
          <w:sz w:val="17"/>
        </w:rPr>
        <w:t>26.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27. Starita LM, Young DL, Islam M, et al. Massively parallel functional analysis of BRCA1 RING domain variants. Genetics. 2015;200(2):413–422. doi:10.1534/genetics.115.175802</w:t>
      </w:r>
    </w:p>
    <w:p w14:paraId="68735211" w14:textId="77777777">
      <w:pPr>
        <w:spacing w:after="50" w:line="240" w:lineRule="auto"/>
        <w:ind w:left="360" w:hanging="360"/>
      </w:pPr>
      <w:r>
        <w:rPr>
          <w:rFonts w:eastAsia="Aptos"/>
          <w:sz w:val="17"/>
        </w:rPr>
        <w:t>28.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29.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30.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31.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32.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33.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34. Jia X, Burugula BB, Chen V, et al. Massively parallel functional testing of MSH2 missense variants conferring Lynch syndrome risk. Am J Hum Genet. 2021;108(1):163–175. doi:10.1016/j.ajhg.2020.12.003</w:t>
      </w:r>
    </w:p>
    <w:p w14:paraId="2366CA9D" w14:textId="77777777">
      <w:pPr>
        <w:spacing w:after="50" w:line="240" w:lineRule="auto"/>
        <w:ind w:left="360" w:hanging="360"/>
      </w:pPr>
      <w:r>
        <w:rPr>
          <w:rFonts w:eastAsia="Aptos"/>
          <w:sz w:val="17"/>
        </w:rPr>
        <w:t>35.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36. Jaiswal BS, Janakiraman V, Kljavin NM, et al. Somatic mutations in p85α promote tumorigenesis through class IA PI3K activation. Cancer Cell. 2009;16(6):463–474. doi:10.1016/j.ccr.2009.10.016</w:t>
      </w:r>
    </w:p>
    <w:p w14:paraId="26C55BB1" w14:textId="77777777">
      <w:pPr>
        <w:spacing w:after="50" w:line="240" w:lineRule="auto"/>
        <w:ind w:left="360" w:hanging="360"/>
      </w:pPr>
      <w:r>
        <w:rPr>
          <w:rFonts w:eastAsia="Aptos"/>
          <w:sz w:val="17"/>
        </w:rPr>
        <w:t>37.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38.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39.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40. Ohh M, Park CW, Ivan M, et al. Ubiquitination of hypoxia-inducible factor requires direct binding to the β-domain of the von Hippel-Lindau protein. Nat Cell Biol. 2000;2(7):423–427. doi:10.1038/35017054</w:t>
      </w:r>
    </w:p>
    <w:p w14:paraId="25F51A5B" w14:textId="77777777">
      <w:pPr>
        <w:spacing w:after="50" w:line="240" w:lineRule="auto"/>
        <w:ind w:left="360" w:hanging="360"/>
      </w:pPr>
      <w:r>
        <w:rPr>
          <w:rFonts w:eastAsia="Aptos"/>
          <w:sz w:val="17"/>
        </w:rPr>
        <w:t>41. Kwiatkowski LD, Hui HL, Wierzba A, et al. Preparation and kinetic characterization of a series of βW37 variants of human hemoglobin A: evidence for high-affinity T quaternary structures. Biochemistry. 1998;37(13):4325–4335. doi:10.1021/bi970866q</w:t>
      </w:r>
    </w:p>
    <w:p w14:paraId="480579A6" w14:textId="77777777">
      <w:pPr>
        <w:spacing w:after="50" w:line="240" w:lineRule="auto"/>
        <w:ind w:left="360" w:hanging="360"/>
      </w:pPr>
      <w:r>
        <w:rPr>
          <w:rFonts w:eastAsia="Aptos"/>
          <w:sz w:val="17"/>
        </w:rPr>
        <w:t>42.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43. Montanucci L, Capriotti E, Frank Y, Ben-Tal N, Fariselli P. DDGun: an untrained method for the prediction of protein stability changes upon single and multiple point variations. BMC Bioinformatics. 2019;20(Suppl 14):335. doi:10.1186/s12859-019-2923-1</w:t>
      </w:r>
    </w:p>
    <w:p w14:paraId="665AA94A" w14:textId="77777777">
      <w:pPr>
        <w:spacing w:after="50" w:line="240" w:lineRule="auto"/>
        <w:ind w:left="360" w:hanging="360"/>
      </w:pPr>
      <w:r>
        <w:rPr>
          <w:rFonts w:eastAsia="Aptos"/>
          <w:sz w:val="17"/>
        </w:rPr>
        <w:t>44. Crotti L, Johnson CN, Graf E, et al. Calmodulin mutations associated with recurrent cardiac arrest in infants. Circulation. 2013;127(9):1009–1017. doi:10.1161/CIRCULATIONAHA.112.001216</w:t>
      </w:r>
    </w:p>
    <w:p w14:paraId="0CA14F2B" w14:textId="77777777">
      <w:pPr>
        <w:spacing w:after="50" w:line="240" w:lineRule="auto"/>
        <w:ind w:left="360" w:hanging="360"/>
      </w:pPr>
      <w:r>
        <w:rPr>
          <w:rFonts w:eastAsia="Aptos"/>
          <w:sz w:val="17"/>
        </w:rPr>
        <w:t>45. Zhao L, Vogt PK. Helical domain and kinase domain mutations in p110α of phosphatidylinositol 3-kinase induce gain of function by different mechanisms. Proc Natl Acad Sci USA. 2008;105(7):2652–2657. doi:10.1073/pnas.0712169105</w:t>
      </w:r>
    </w:p>
    <w:p w14:paraId="3D43392F" w14:textId="77777777">
      <w:pPr>
        <w:spacing w:after="50" w:line="240" w:lineRule="auto"/>
        <w:ind w:left="360" w:hanging="360"/>
      </w:pPr>
      <w:r>
        <w:rPr>
          <w:rFonts w:eastAsia="Aptos"/>
          <w:sz w:val="17"/>
        </w:rPr>
        <w:t>46.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47. Le Goff C, Mahaut C, Abhyankar A, et al. Mutations at a single codon in Mad homology 2 domain of SMAD4 cause Myhre syndrome. Nat Genet. 2011;44(1):85–88. doi:10.1038/ng.1016</w:t>
      </w:r>
    </w:p>
    <w:p w14:paraId="2EE8C075" w14:textId="77777777">
      <w:pPr>
        <w:spacing w:after="50" w:line="240" w:lineRule="auto"/>
        <w:ind w:left="360" w:hanging="360"/>
      </w:pPr>
      <w:r>
        <w:rPr>
          <w:rFonts w:eastAsia="Aptos"/>
          <w:sz w:val="17"/>
        </w:rPr>
        <w:t>48.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49.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50.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51. Kwon S, Safer J, Nguyen DT, Hoksza D, May P, Arbesfeld JA, et al. Genomics 2 Proteins portal: a resource and discovery tool for linking genetic screening outputs to protein sequences and structures. Nat Methods. 2024;21(10):1947–1957. doi:10.1038/s41592-024-02409-0</w:t>
      </w:r>
    </w:p>
    <w:p w14:paraId="78FBFFB9" w14:textId="77777777">
      <w:pPr>
        <w:spacing w:after="50" w:line="240" w:lineRule="auto"/>
        <w:ind w:left="360" w:hanging="360"/>
      </w:pPr>
      <w:r>
        <w:rPr>
          <w:rFonts w:eastAsia="Aptos"/>
          <w:sz w:val="17"/>
        </w:rPr>
        <w:t>52. Vassall KA, Stathopulos PB, Rumfeldt JAO, Lepock JR, Meiering EM. Equilibrium thermodynamic analysis of amyotrophic lateral sclerosis-associated mutant apo Cu,Zn superoxide dismutases. Biochemistry. 2006;45(23):7366-7379. doi:10.1021/bi0600953</w:t>
      </w:r>
    </w:p>
    <w:p w14:paraId="0F2D6903" w14:textId="77777777">
      <w:pPr>
        <w:pStyle w:val="Heading1"/>
        <w:pageBreakBefore/>
      </w:pPr>
      <w:r>
        <w:lastRenderedPageBreak/>
        <w:t>Supplementary information</w:t>
      </w:r>
    </w:p>
    <w:p w14:paraId="5C224B31" w14:textId="77777777">
      <w:pPr>
        <w:pStyle w:val="Heading2"/>
      </w:pPr>
      <w:r>
        <w:t>S1 Text - Implementation details and statistical conventions</w:t>
      </w:r>
    </w:p>
    <w:p w14:paraId="2AAB6BFF" w14: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[22]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S1 Table</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S1 Table</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S1 Table</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S1 Table</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S1 Table</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S1 Table</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S1 Table</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S1 Table</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S1 Table</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S1 Table</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w14:paraId="09F7BD40" w14: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33</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22</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11</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18</w:t>
            </w:r>
          </w:p>
        </w:tc>
        <w:tc>
          <w:tcPr>
            <w:tcW w:w="936" w:type="dxa"/>
            <w:tcMar>
              <w:top w:w="60" w:type="dxa"/>
              <w:left w:w="80" w:type="dxa"/>
              <w:bottom w:w="60" w:type="dxa"/>
              <w:right w:w="80" w:type="dxa"/>
            </w:tcMar>
            <w:vAlign w:val="center"/>
          </w:tcPr>
          <w:p w14:paraId="527FD6D7" w14:textId="77777777">
            <w:pPr>
              <w:spacing w:after="0" w:line="240" w:lineRule="auto"/>
            </w:pPr>
            <w:r>
              <w:rPr>
                <w:sz w:val="15"/>
              </w:rPr>
              <w:t>18</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64D09277" w14: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3847FD88" w14: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15/5</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7/20</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0.750</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0.741</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0.745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0.087</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18/2</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12/15</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0.900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0.556</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0.600</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0.728</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0.0057</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t>S2 Text - Evidence provenance and denominator sensitivity</w:t>
      </w:r>
    </w:p>
    <w:p w14:paraId="794C94DC" w14: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14:paraId="7B33C663" w14: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w14:paraId="4111021A" w14: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39.5/57 = 0.693</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19/25 = 0.760</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56/77 = 0.727</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89/124 = 0.718</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89/125 = 0.712</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41.5/59 = 0.703</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w14:paraId="14BBB136" w14:textId="77777777">
      <w:pPr>
        <w:pStyle w:val="Heading2"/>
      </w:pPr>
      <w:r>
        <w:t>S3 Text - Fold-arm errors and ground-truth conventions</w:t>
      </w:r>
    </w:p>
    <w:p w14:paraId="7F8A1E4F" w14:textId="77777777">
      <w:r>
        <w:t>The fold-mechanism class was the weakest primary mechanism arm (weighted mechanism consistency 0.55, n = 10). Its errors separate into prediction misses and disagreements created by the sign-based ground-truth convention.</w:t>
      </w:r>
    </w:p>
    <w:p w14:paraId="70B9B7A7" w14: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S4 Text - Operating-point and calibration diagnostics</w:t>
      </w:r>
    </w:p>
    <w:p w14:paraId="37BDC8EB" w14: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w14:paraId="06D1A2BC" w14: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w14:paraId="335CC516" w14:textId="77777777">
      <w:pPr>
        <w:pageBreakBefore/>
      </w:pPr>
      <w:r>
        <w:t>The mechanism-attribution menu also answers a different question from the 3 kcal/mol fold cutoff used for cellular-stability or degradation interpretation in MAVISp [4] and related MLH1 studies [23,24].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0.714</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0.448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0.581</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0.607</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0.759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0.683</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0.500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0.862</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0.684</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0.681</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43</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0.84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8</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Both values lie within 1.0 kcal/mol of 2.5.</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0.91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12</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At least one value lies more than 1.0 kcal/mol from 2.5.</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3.02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S5 Text -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(S4 Table; S3 Fig).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w14:paraId="1778C9B9" w14: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12</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1</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12/13 = 0.923</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2</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15</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2/17 = 0.118</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w14:paraId="7D69B8AF" w14: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16/9</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0/8</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0/9</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0/11</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15/4</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0/5</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0/12</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0/14</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11/3</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0/15</w:t>
            </w:r>
          </w:p>
        </w:tc>
      </w:tr>
    </w:tbl>
    <w:p w14:paraId="1E348CFE" w14: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0.941 / 0.433 / 0.485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0.941 / 0.700 / 0.640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0.882 / 0.800 / 0.714</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0.882 / 0.700 / 0.625</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0.882 / 0.867 / 0.789</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0.882 / 0.900 / 0.833</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0.647 / 0.833 / 0.688</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0.647 / 0.900 / 0.786</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S4 Fig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S6 Text - Pathogenicity comparison, directional enrichment, and gain of function</w:t>
      </w:r>
    </w:p>
    <w:p w14:paraId="1F8B9D5E" w14:textId="77777777">
      <w:r>
        <w:t>At the 2.5 reference, 25/61 benchmark variants had at least one firing energetic output and 36/61 were silent. Among the 56 variants with a clinical label, 42 were pathogenic. All 22 labelled variants with a firing output were pathogenic, whereas the silent group contained 20 pathogenic and 14 benign variants (Fisher p = 3.1 × 10^-4). The 20 pathogenic-but-silent variants spanned 11/14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broader 49-variant clinically labelled set used in the earlier thresholded comparison, AlphaMissense was correct on 38/43 confident calls and 40/49 when ambiguous scores were thresholded at 0.5 and two no-calls were counted as errors. Those counts use a different decision convention and population;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S7 Text -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confidence restriction therefore removes lower-confidence observations without turning the remaining cohort into a hidden high-performing subset; it should be read as a robustness view, not as an alternative benchmark definition.</w:t>
      </w:r>
    </w:p>
    <w:p w14:paraId="1BFE6458" w14: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0.693</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0.718</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0.535 ± 0.046;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0.6759-0.7130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0.7009-0.7321</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0.715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0.586-0.793</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0.634-0.797</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0.650-0.791</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S8 Text -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[25] with the frozen COMAVI workflow: barnase-barstar (24 substitutions) and TEM1-BLIP (24 substitutions on the unambiguously mapped BLIP side). Measured binding ΔΔG was calculated as RT ln(K_D,mut/K_D,wt).</w:t>
      </w:r>
    </w:p>
    <w:p>
      <w:r>
        <w:rPr>
          <w:b/>
        </w:rPr>
        <w:t>S9 Text -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shows they agree. Of the 20 variants with a modeled structural mechanism, the 17 recovered in the top 20 have a mean mechanism-pattern grade of 0.588, against 0.167 for the three that rank outside it, and the priority score correlates with the grade across all 20 (Spearman rho = 0.482, p = 0.031). No variant graded fully consistent falls outside the top 20, so the ranking does not bury a variant whose mechanism COMAVI resolves. Within the top 20 the grades are 5 consistent, 10 partial and 2 inconsistent; the two inconsistent cases are MLH1 R755W at rank 11 and PIK3CA E545K at rank 15, and they are the failure mode this analysis is designed to expose - correctly prioritized, incorrectly explained. The three structural mechanisms outside the top 20 are HBB W37Y at rank 21, immediately below the cut, and KRAS G12D and G12V at ranks 33 and 39. The KRAS pair is the limitation already stated in Section 4: both act through nucleotide-state-dependent signalling rather than through an interface lesion an interface-weighted index can score, and both are also the variants graded inconsistent outside the top 20. The same mechanism class that the ranking misses is the one the grading misses, which is consistent rather than compounding.</w:t>
      </w:r>
    </w:p>
    <w:p w14:paraId="26A68998" w14: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