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p>
      <w:r>
        <w:rPr>
          <w:i/>
        </w:rPr>
        <w:t>This file consolidates 3 supplementary notes from the reviewed manuscript into one supporting-information item. Section numbers below are local to this file. The item name each section carried in the reviewed manuscript is given in the contents list, so a reader holding the earlier version can locate any passage.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Title</w:t>
            </w:r>
          </w:p>
        </w:tc>
        <w:tc>
          <w:tcPr>
            <w:tcW w:type="dxa" w:w="2880"/>
          </w:tcPr>
          <w:p>
            <w:r>
              <w:rPr>
                <w:b/>
              </w:rPr>
              <w:t>Item name in the reviewed manuscript</w:t>
            </w:r>
          </w:p>
        </w:tc>
      </w:tr>
      <w:tr>
        <w:tc>
          <w:tcPr>
            <w:tcW w:type="dxa" w:w="2880"/>
          </w:tcPr>
          <w:p>
            <w:r>
              <w:t>Section 1</w:t>
            </w:r>
          </w:p>
        </w:tc>
        <w:tc>
          <w:tcPr>
            <w:tcW w:type="dxa" w:w="2880"/>
          </w:tcPr>
          <w:p>
            <w:r>
              <w:t>Mechanism-class decomposition, fold-arm errors, and ground-truth conventions</w:t>
            </w:r>
          </w:p>
        </w:tc>
        <w:tc>
          <w:tcPr>
            <w:tcW w:type="dxa" w:w="2880"/>
          </w:tcPr>
          <w:p>
            <w:r>
              <w:t>S3 Text</w:t>
            </w:r>
          </w:p>
        </w:tc>
      </w:tr>
      <w:tr>
        <w:tc>
          <w:tcPr>
            <w:tcW w:type="dxa" w:w="2880"/>
          </w:tcPr>
          <w:p>
            <w:r>
              <w:t>Section 2</w:t>
            </w:r>
          </w:p>
        </w:tc>
        <w:tc>
          <w:tcPr>
            <w:tcW w:type="dxa" w:w="2880"/>
          </w:tcPr>
          <w:p>
            <w:r>
              <w:t>Operating-point and calibration diagnostics</w:t>
            </w:r>
          </w:p>
        </w:tc>
        <w:tc>
          <w:tcPr>
            <w:tcW w:type="dxa" w:w="2880"/>
          </w:tcPr>
          <w:p>
            <w:r>
              <w:t>S4 Text</w:t>
            </w:r>
          </w:p>
        </w:tc>
      </w:tr>
      <w:tr>
        <w:tc>
          <w:tcPr>
            <w:tcW w:type="dxa" w:w="2880"/>
          </w:tcPr>
          <w:p>
            <w:r>
              <w:t>Section 3</w:t>
            </w:r>
          </w:p>
        </w:tc>
        <w:tc>
          <w:tcPr>
            <w:tcW w:type="dxa" w:w="2880"/>
          </w:tcPr>
          <w:p>
            <w:r>
              <w:t>Structural-context comparators, evidence states, and priority-score sensitivity</w:t>
            </w:r>
          </w:p>
        </w:tc>
        <w:tc>
          <w:tcPr>
            <w:tcW w:type="dxa" w:w="2880"/>
          </w:tcPr>
          <w:p>
            <w:r>
              <w:t>S5 Text</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substitution-adjusted setting,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47-variant prioritization subset (S1 Table, context_comparators sheet;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47-variant subset into five equal score bands shows the concentration directly: 8 of the 9 variants in the highest band (0.80-1.00) carry a modeled structural mechanism, 6 of 8 in the next band (0.60-&lt;0.80), and 0 of 16 across the two lowest bands combined. The scale is therefore usable as a magnitude and not only as an ordering.</w:t>
      </w:r>
    </w:p>
    <w:p>
      <w:pPr/>
      <w:r>
        <w:t>Leave-one-system-out influence. Because variants cluster within protein systems, a single system could carry the ranking result. Removing each of the 13 systems represented in this subset in turn and recomputing gives priority-score ROC AUC between 0.929 and 0.984, against 0.943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9 alternative combinations - a hard cap, an exponential, a smooth normalisation, two different energy weightings, a common per-axis anchor, a context term built without the interface bonus, an interface-only context term, and a cohort-standardised combination - gives ROC AUC between 0.878 and 0.947. Every form that keeps a graded context term lands within 0.004 of the reported 0.943 and ranks the cohort almost identically to it (Spearman at least 0.78). The single form that falls away, at 0.878, is the one that replaces the graded tier with a binary interface flag, which is the ablation reported above rather than a reformulation. None of these was used to select the reported score, and no formula was fitted to this cohort.</w:t>
      </w:r>
    </w:p>
    <w:p>
      <w:pPr/>
      <w:r>
        <w:t>Two of the alternatives reach 0.947, marginally above the reported 0.943. The difference is 2 discordant pairs out of the 510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