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S2 Text. Sensitivity analyses, mechanism-class decomposition and operating-point diagnostics.</w:t>
      </w:r>
    </w:p>
    <w:p>
      <w:r>
        <w:rPr>
          <w:i/>
        </w:rPr>
        <w:t>This file consolidates 3 supplementary notes from the reviewed manuscript into one supporting-information item. Section numbers below are local to this file. The item name each section carried in the reviewed manuscript is given in the contents list, so a reader holding the earlier version can locate any passage.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Title</w:t>
            </w:r>
          </w:p>
        </w:tc>
        <w:tc>
          <w:tcPr>
            <w:tcW w:type="dxa" w:w="2880"/>
          </w:tcPr>
          <w:p>
            <w:r>
              <w:rPr>
                <w:b/>
              </w:rPr>
              <w:t>Item name in the reviewed manuscript</w:t>
            </w:r>
          </w:p>
        </w:tc>
      </w:tr>
      <w:tr>
        <w:tc>
          <w:tcPr>
            <w:tcW w:type="dxa" w:w="2880"/>
          </w:tcPr>
          <w:p>
            <w:r>
              <w:t>Section 1</w:t>
            </w:r>
          </w:p>
        </w:tc>
        <w:tc>
          <w:tcPr>
            <w:tcW w:type="dxa" w:w="2880"/>
          </w:tcPr>
          <w:p>
            <w:r>
              <w:t>Mechanism-class decomposition, fold-arm errors, and ground-truth conventions</w:t>
            </w:r>
          </w:p>
        </w:tc>
        <w:tc>
          <w:tcPr>
            <w:tcW w:type="dxa" w:w="2880"/>
          </w:tcPr>
          <w:p>
            <w:r>
              <w:t>S3 Text</w:t>
            </w:r>
          </w:p>
        </w:tc>
      </w:tr>
      <w:tr>
        <w:tc>
          <w:tcPr>
            <w:tcW w:type="dxa" w:w="2880"/>
          </w:tcPr>
          <w:p>
            <w:r>
              <w:t>Section 2</w:t>
            </w:r>
          </w:p>
        </w:tc>
        <w:tc>
          <w:tcPr>
            <w:tcW w:type="dxa" w:w="2880"/>
          </w:tcPr>
          <w:p>
            <w:r>
              <w:t>Operating-point and calibration diagnostics</w:t>
            </w:r>
          </w:p>
        </w:tc>
        <w:tc>
          <w:tcPr>
            <w:tcW w:type="dxa" w:w="2880"/>
          </w:tcPr>
          <w:p>
            <w:r>
              <w:t>S4 Text</w:t>
            </w:r>
          </w:p>
        </w:tc>
      </w:tr>
      <w:tr>
        <w:tc>
          <w:tcPr>
            <w:tcW w:type="dxa" w:w="2880"/>
          </w:tcPr>
          <w:p>
            <w:r>
              <w:t>Section 3</w:t>
            </w:r>
          </w:p>
        </w:tc>
        <w:tc>
          <w:tcPr>
            <w:tcW w:type="dxa" w:w="2880"/>
          </w:tcPr>
          <w:p>
            <w:r>
              <w:t>Structural-context comparators, evidence states, and priority-score sensitivity</w:t>
            </w:r>
          </w:p>
        </w:tc>
        <w:tc>
          <w:tcPr>
            <w:tcW w:type="dxa" w:w="2880"/>
          </w:tcPr>
          <w:p>
            <w:r>
              <w:t>S5 Text</w:t>
            </w:r>
          </w:p>
        </w:tc>
      </w:tr>
    </w:tbl>
    <w:p>
      <w:r>
        <w:rPr>
          <w:b/>
        </w:rPr>
        <w:t>Section 1. Mechanism-class decomposition, fold-arm errors, and ground-truth conventions</w:t>
      </w:r>
    </w:p>
    <w:p>
      <w:r>
        <w:t>Weighted mechanism consistency differed by expected mechanism class: 0.833 for mixed structural expectations (n = 6), 0.812 for curated structurally silent variants (n = 32), 0.550 for the fold-mechanism class (n = 10), and 0.500 for pure interface destabilization (n = 9). The interface class is therefore the weakest arm. Fold-arm errors separate into prediction misses and disagreements created by the sign-based ground-truth convention.</w:t>
      </w:r>
    </w:p>
    <w:p>
      <w:r>
        <w:rPr>
          <w:b/>
        </w:rPr>
        <w:t>Section 2. Operating-point and calibration diagnostics</w:t>
      </w:r>
    </w:p>
    <w:p>
      <w:r>
        <w:t>The apparent pooled optimum depends on class mixture. The benchmark contains 25 variants with committed structural mechanisms and 32 benchmark negatives, a structural fraction of 0.439. Reweighting the classes moved the pooled optimum: 2.5 kcal/mol remained the pooled argmax only while the weight on the structural arm stayed at or below 0.645, well above the benchmark's own structural fraction, so the reference point is not an artifact of this cohort's class mixture, though it would move under a substantially more structural-heavy one. This analysis supports reporting a threshold menu rather than a universal optimum.</w:t>
      </w:r>
    </w:p>
    <w:p>
      <w:r>
        <w:t>In 10,000 paired whole-system resamples, in which the same resample of the 14 systems is scored at every threshold, graded recovery decreased from 0.757 (95% CI 0.639-0.861) at 1.0 kcal/mol to 0.536 (0.405-0.679) at the substitution-adjusted setting, whereas correct rejection increased from 0.445 (0.270-0.625) to 0.849 (0.688-1.000). The probability that recovery fell was 0.999, and the probability that rejection rose was 1.000. The direction of the curves is forced by thresholding, however; resampling quantifies the size of the exchange, not its existence.</w:t>
      </w:r>
    </w:p>
    <w:p>
      <w:r>
        <w:t>The mechanism-attribution menu also answers a different question from the 3 kcal/mol fold cutoff used for cellular-stability or degradation interpretation in MAVISp [15] and related MLH1 studies [54,55]. A predicted fold change below that cellular-abundance cutoff can still identify the correct structural axis for follow-up. We therefore retain the 3 kcal/mol comparison as endpoint context, not as a basis for selecting a COMAVI operating point.</w:t>
      </w:r>
    </w:p>
    <w:p>
      <w:r>
        <w:rPr>
          <w:b/>
        </w:rPr>
        <w:t>Section 3. Structural-context comparators, evidence states, and priority-score sensitivity</w:t>
      </w:r>
    </w:p>
    <w:p>
      <w:r>
        <w:t>The full tier, an interface-only screen, and the tier without its interface bonus were compared on the same 47-variant prioritization subset (S1 Table, context_comparators sheet; S3 Fig). The full tier recovered all 17 structural mechanisms (exact 95% CI 0.805-1.000) but also flagged 13 of 30 no-lesion variants, giving specificity 0.567 (95% CI 0.374-0.745). Complete recovery on seventeen variants is compatible with a true sensitivity as low as 0.805, so the interval rather than the point estimate is what the screen supports. Interface status alone recovered 15/17 and rejected 23/30; the no-interface tier recovered 14/17 and rejected 18/30. Exact within-system permutation p values were 0.0095, 0.0018, and 0.129, respectively. Per-tier structural fractions were 11/13 in Tier 1, 6/17 in Tier 2, and 0/17 across Tiers 3-4, so the gradient is now strictly decreasing and no variant with a modeled structural mechanism falls in the two weakest tiers. Removing the interface bonus demoted HBB W37Y, PIK3CA E542K, PIK3CA E545K, and CALM1 D96V from Tier 2 to Tier 3.</w:t>
      </w:r>
    </w:p>
    <w:p>
      <w:pPr/>
      <w:r>
        <w:t>Priority-score bands. Ranking performance is summarised above as a single area under the curve, which says nothing about where on the scale the mechanisms sit. Partitioning the 47-variant subset into five equal score bands shows the concentration directly: 8 of the 9 variants in the highest band (0.80-1.00) carry a modeled structural mechanism, 6 of 8 in the next band (0.60-&lt;0.80), and 0 of 16 across the two lowest bands combined. The scale is therefore usable as a magnitude and not only as an ordering.</w:t>
      </w:r>
    </w:p>
    <w:p>
      <w:pPr/>
      <w:r>
        <w:t>Leave-one-system-out influence. Because variants cluster within protein systems, a single system could carry the ranking result. Removing each of the 13 systems represented in this subset in turn and recomputing gives priority-score ROC AUC between 0.929 and 0.984, against 0.943 on the full subset. In all 13 folds the combined score ranked above both of its own components, so the advantage of combining energy with structural context does not depend on any one system.</w:t>
      </w:r>
    </w:p>
    <w:p>
      <w:pPr/>
      <w:r>
        <w:t>Alternative fixed formulas. The priority score combines an energy term and a context term through one soft-saturating function, and that choice is a modeling decision rather than a fitted one. Substituting nine alternative combinations - a hard cap, an exponential, a smooth normalisation, two different energy weightings, a common per-axis anchor, a context term built without the interface bonus, an interface-only context term, and a cohort-standardised combination - gives ROC AUC between 0.878 and 0.947. Eight of the nine keep a graded context term, and all eight rank the cohort almost identically to the reported score (Spearman at least 0.940); their ROC AUC spans 0.878 to 0.947, with the low end belonging to the tier stripped of its interface bonus, which is the ablation reported above rather than a reformulation. The one form that reorders the cohort materially is the interface-only context term, which replaces the graded tier with a binary flag: its ROC AUC is 0.931 but its rank correlation with the reported score falls to 0.782, so what matters is not that it scores slightly lower but that it ranks different variants. None of these was used to select the reported score, and no formula was fitted to this cohort.</w:t>
      </w:r>
    </w:p>
    <w:p>
      <w:pPr/>
      <w:r>
        <w:t>Two of the alternatives reach 0.947, marginally above the reported 0.943. The difference is 2 discordant pairs out of the 510 positive-negative pairs the statistic is computed over, which is below the resolution at which two rankings can be distinguished on a cohort of this size. One of the two, the cohort-standardised combination, is additionally not a per-variant score: it z-scores each term against the mean and standard deviation of whichever variants are present, so a variant's value changes when other variants are added or removed, and it cannot be computed for a new variant without a reference cohort. It is retained here only as a comparator. The reported score uses fixed constants and depends on no other variant, which is the property that makes it usable prospectively.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