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DD60" w14:textId="77777777">
      <w:pPr>
        <w:pStyle w:val="Title"/>
        <w:jc w:val="center"/>
      </w:pPr>
      <w:r>
        <w:t>COMAVI: complex-aware structural mechanism profiles for prioritizing missense variants</w:t>
      </w:r>
    </w:p>
    <w:p w14:paraId="012C7D2D" w14:textId="77777777">
      <w:pPr>
        <w:pStyle w:val="Heading1"/>
      </w:pPr>
      <w:r>
        <w:t>Abstract</w:t>
      </w:r>
    </w:p>
    <w:p w14:paraId="22CADDE6" w14:textId="77777777">
      <w:r>
        <w:rPr>
          <w:rFonts w:ascii="Arial" w:hAnsi="Arial" w:eastAsia="Arial"/>
        </w:rPr>
        <w:t>Researchers often identify more missense variants than they can characterize experimentally. Pathogenicity scores can rank variants that may matter, but they generally do not identify the structural process affected or the experiment most likely to test it. COMAVI (Complex-Aware Variant Impact Scoring) evaluates each variant in an isolated protein and, when available, in the assembled complex. It reports predicted changes in isolated-subunit stability, stability calculated in the assembled complex, and protein-protein interaction energy, together with a structural-context tier. From the same evidence, COMAVI produces two linked outputs. The priority score ranks the strength of modeled structural-disruption evidence; the mechanism profile preserves the signed evidence needed to propose a lesion and select an experiment. Neither output is a pathogenicity verdict.</w:t>
      </w:r>
    </w:p>
    <w:p w14:paraId="5BAF7D06" w14:textId="77777777">
      <w:r>
        <w:rPr>
          <w:rFonts w:ascii="Arial" w:hAnsi="Arial" w:eastAsia="Arial"/>
        </w:rPr>
        <w:t>The 61-variant literature-curated resource supported two overlapping analyses across 14 protein systems. Mechanism-pattern recovery was evaluated in 57 variants: 47 interaction variants and 10 monomer-only BRCA1 tandem-BRCT variants. At the 2.5 kcal/mol reference threshold, COMAVI achieved a partial-credit mechanism-pattern score of 39.5/57 (0.693). Structural prioritization was evaluated in the overlapping set of 47 interaction variants with a committed structural endpoint; the priority score placed 17 of 20 variants with modeled structural mechanisms in the top 20. Those 17 also carry the higher mechanism-pattern grades: mean grade 0.588 inside the top 20 against 0.167 outside it, with no fully consistent variant ranked below the cut (S9 Text). These results evaluate the two intended uses of COMAVI: recovering the expected combination of structural effects and concentrating structurally disruptive variants near the top of a candidate list.</w:t>
      </w:r>
    </w:p>
    <w:p w14:paraId="765C248F" w14:textId="77777777">
      <w:r>
        <w:rPr>
          <w:rFonts w:ascii="Arial" w:hAnsi="Arial" w:eastAsia="Arial"/>
        </w:rPr>
        <w:t>The energy threshold used to convert each continuous predicted ΔΔG into a yes-or-no mechanism call changed the balance between recovery and conservatism. Lower thresholds recovered more candidate mechanisms, whereas higher thresholds produced fewer structural assertions and missed more experimentally measured destabilizations. FoldX generally preserved the ordering of measured effects but compressed large magnitudes, explaining why stringent thresholds reduced sensitivity.</w:t>
      </w:r>
    </w:p>
    <w:p w14:paraId="47F36E25" w14:textId="77777777">
      <w:r>
        <w:rPr>
          <w:rFonts w:ascii="Arial" w:hAnsi="Arial" w:eastAsia="Arial"/>
        </w:rPr>
        <w:t>COMAVI is therefore best used in two stages. First, use the priority score to allocate experimental attention. Second, inspect the signed mechanism profile, structural context, uncertainty, selected threshold, and model limitations to choose a stability, assembly, or binding experiment. A silent result means only that no lesion was detected in the supplied static model at the stated threshold; it does not exclude pathogenicity or a mechanism outside that model.</w:t>
      </w:r>
    </w:p>
    <w:p w14:paraId="60D5665E" w14:textId="77777777">
      <w:pPr>
        <w:pStyle w:val="Heading1"/>
        <w:spacing w:after="50" w:line="240" w:lineRule="auto"/>
      </w:pPr>
      <w:r>
        <w:t>1. Introduction</w:t>
      </w:r>
    </w:p>
    <w:p w14:paraId="75C517AF" w14:textId="77777777">
      <w:r>
        <w:t>Sequencing studies often identify more missense candidates than can be characterized experimentally. Researchers must therefore decide not only which variants may matter, but also which variants justify wet-lab investment and which experiment should be performed first. A rank alone cannot distinguish a stability assay from an affinity measurement, an assembly experiment, or a search for a dynamic or regulatory defect.</w:t>
      </w:r>
    </w:p>
    <w:p w14:paraId="252A983A" w14:textId="77777777">
      <w:r>
        <w:t>Variant-effect predictors answer a related but different question. Sequence- and evolution-based models estimate whether a substitution is likely to be damaging; AlphaMissense, for example, provides proteome-wide pathogenicity scores [1]. A pathogenicity score alone generally does not specify which structural process is affected or which experiment should test it. Similar scores can describe variants that destabilize a folded domain, weaken an interface, perturb an assembled subunit, alter catalysis, or change dynamics. Those possibilities require different experiments.</w:t>
      </w:r>
    </w:p>
    <w:p w14:paraId="6E1EA217" w14:textId="134D3D89">
      <w:r>
        <w:t>Many proteins function in complexes, so the structural context of a residue can change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[2]. A method intended to guide follow-up should preserve this monomer-versus-multimer distinction rather than collapse it into one impact score.</w:t>
      </w:r>
    </w:p>
    <w:p w14:paraId="283D2EF6" w14:textId="77777777">
      <w:r>
        <w:rPr>
          <w:rFonts w:ascii="Arial" w:hAnsi="Arial" w:eastAsia="Arial"/>
        </w:rPr>
        <w:t>Large-scale structural annotation tools now place variants in experimental and predicted structures, and some frameworks can analyze both individual proteins and complexes [3-10]. Explicitly comparing the same substitution in isolated and assembled coordinates, however, remains uncommon. MAVISp is a broad modular framework that includes stability and local-interaction analyses across supplied structural contexts [4]. COMAVI addresses the narrower experimental-triage question: it directly contrasts isolated and assembled calculations for the same variant, keeps fold and binding predictions separate, records what the supplied model can and cannot represent, and links the resulting profile to an experimental next step. Related stability and interface methods provide complementary benchmarks and predictors [11-18].</w:t>
      </w:r>
    </w:p>
    <w:p w14:paraId="4E3F6EB4" w14:textId="77777777">
      <w:r>
        <w:t>We developed COMAVI to compare a variant across isolated and assembled structural contexts and to translate the resulting evidence into an experimental hypothesis. We then asked whether the mechanism profiles recovered literature-supported structural effects and whether a fixed priority score could concentrate variants with modeled structural lesions near the top of a candidate list. The intended output is assay-directed structural triage, not clinical classification.</w:t>
      </w:r>
    </w:p>
    <w:p w14:paraId="7286D956" w14:textId="77777777">
      <w:pPr>
        <w:pStyle w:val="Heading1"/>
        <w:spacing w:after="50" w:line="240" w:lineRule="auto"/>
      </w:pPr>
      <w:r>
        <w:t>2. Materials and Methods</w:t>
      </w:r>
    </w:p>
    <w:p w14:paraId="3A4CB24D" w14:textId="77777777">
      <w:pPr>
        <w:pStyle w:val="Heading2"/>
      </w:pPr>
      <w:r>
        <w:t>2.1 What COMAVI computes</w:t>
      </w:r>
    </w:p>
    <w:p w14:paraId="2B6109C4" w14:textId="77777777">
      <w:r>
        <w:rPr>
          <w:rFonts w:ascii="Arial" w:hAnsi="Arial" w:eastAsia="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(formally, complex-context stability) means the FoldX BuildModel mutation-induced folding-energy change computed using the assembled coordinates. The term identifies the structural context of the calculation; it does not describe a folding pathway or prove that a subunit folds normally in isolation and becomes destabilized only after binding.</w:t>
      </w:r>
    </w:p>
    <w:p w14:paraId="44C07D38" w14:textId="77777777">
      <w:r>
        <w:rPr>
          <w:rFonts w:ascii="Arial" w:hAnsi="Arial" w:eastAsia="Arial"/>
        </w:rPr>
        <w:t>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Before a silent result is interpreted, the supplied model must also be checked for the partner, ligand, state, or modification required for the relevant biology.</w:t>
      </w:r>
    </w:p>
    <w:p w14:paraId="5331D795" w14:textId="77777777">
      <w:pPr>
        <w:keepNext/>
        <w:spacing w:before="80" w:after="20"/>
        <w:jc w:val="center"/>
      </w:pPr>
      <w:r>
        <w:rPr>
          <w:noProof/>
        </w:rPr>
        <w:lastRenderedPageBreak/>
        <w:drawing>
          <wp:inline distT="0" distB="0" distL="0" distR="0" wp14:anchorId="2CEFC76D" wp14:editId="05C25EB8">
            <wp:extent cx="6080760" cy="2421210"/>
            <wp:effectExtent l="0" t="0" r="0" b="0"/>
            <wp:docPr id="13" name="Picture 13" descr="Workflow showing the missense-variant input, four structural evidence components, the ISDS-v1 priority score, the mechanism profile, and their separate experimental uses." title="Workflow showing the missense-variant input, four structural evidence components, the ISDS-v1 priority score, the mec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2"/>
                    <a:stretch>
                      <a:fillRect/>
                    </a:stretch>
                  </pic:blipFill>
                  <pic:spPr>
                    <a:xfrm>
                      <a:off x="0" y="0"/>
                      <a:ext cx="6080760" cy="2421210"/>
                    </a:xfrm>
                    <a:prstGeom prst="rect">
                      <a:avLst/>
                    </a:prstGeom>
                  </pic:spPr>
                </pic:pic>
              </a:graphicData>
            </a:graphic>
          </wp:inline>
        </w:drawing>
      </w:r>
      <w:r>
        <w:rPr>
          <w:rStyle w:val="CommentReference"/>
          <w:sz w:val="21"/>
          <w:szCs w:val="22"/>
        </w:rPr>
      </w:r>
    </w:p>
    <w:p w14:paraId="3A2861B2" w14:textId="77777777">
      <w:pPr>
        <w:pStyle w:val="Caption"/>
        <w:keepNext/>
        <w:keepLines/>
        <w:spacing w:before="60" w:after="160"/>
      </w:pPr>
      <w:r>
        <w:rPr>
          <w:rFonts w:ascii="Arial" w:hAnsi="Arial" w:eastAsia="Arial"/>
        </w:rPr>
        <w:t>Fig 1. COMAVI converts structural calculations into two complementary products. The three energy calculations - isolated-subunit stability, stability calculated in the assembled complex, and partner-specific binding energy - contribute to both products: they supply the energy component of the priority score and the signed values of the mechanism profile. The structural-context tier contributes only to the priority score, as its context component. The mechanism profile is therefore read from the energies alone, which is what keeps a strong structural context from being reported as a mechanism. The priority score ranks variants for structural follow-up. The mechanism profile preserves signed energies, thresholded calls, uncertainty, context, and model limitations to choose an experiment. Pathogenicity remains a separate evidence dimension.</w:t>
      </w:r>
    </w:p>
    <w:p w14:paraId="3A38B917" w14:textId="77777777">
      <w:pPr>
        <w:pStyle w:val="Heading2"/>
      </w:pPr>
      <w:r>
        <w:t>2.2 Benchmark populations and literature-defined expectations</w:t>
      </w:r>
    </w:p>
    <w:p w14:paraId="2D216F83" w14:textId="77777777">
      <w:r>
        <w:rPr>
          <w:rFonts w:ascii="Arial" w:hAnsi="Arial" w:eastAsia="Arial"/>
        </w:rPr>
        <w:t>The 61-variant literature-curated resource spans 14 protein systems: 49 interaction variants across 13 complexes and 12 BRCA1 tandem-BRCT variants with measured isolated-subunit stability [19]. The resource supported several overlapping analyses. Whole-variant mechanism-pattern recovery was evaluated in 57 variants: 47 interaction variants and 10 BRCT core or fold variants.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lists every variant with its clinical annotation, its expected mechanism, and the published result that defined that expectation. That table cites the defining publication per variant; the primary literature underlying the curated expectations across the 14 systems is [20-38].</w:t>
      </w:r>
    </w:p>
    <w:p w14:paraId="76BFCB5B" w14:textId="77777777">
      <w:r>
        <w:rPr>
          <w:rFonts w:ascii="Arial" w:hAnsi="Arial" w:eastAsia="Arial"/>
        </w:rPr>
        <w:t>Structural prioritization was evaluated in the overlapping set of 47 interaction variants that had both a structural-context tier and a committed endpoint: 20 with a modeled structural mechanism and 27 curated to lack a lesion on the modeled COMAVI axes. Pathogenicity comparisons used clinically labelled complete-case subsets and therefore answer a different question. The population, positive definition, and denominator are stated for each analysis and figure.</w:t>
      </w:r>
    </w:p>
    <w:p>
      <w:r>
        <w:rPr>
          <w:b w:val="0"/>
        </w:rPr>
        <w:t>Table 1. Benchmark composition. 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Per-variant detail, including the literature evidence that defined each expectation, is given in S1 Table.</w:t>
      </w:r>
    </w:p>
    <w:tbl>
      <w:tblPr>
        <w:tblW w:type="auto" w:w="0"/>
        <w:tblLook w:firstColumn="1" w:firstRow="1" w:lastColumn="0" w:lastRow="0" w:noHBand="0" w:noVBand="1" w:val="04A0"/>
      </w:tblPr>
      <w:tblGrid>
        <w:gridCol w:w="1428"/>
        <w:gridCol w:w="1428"/>
        <w:gridCol w:w="1428"/>
        <w:gridCol w:w="1428"/>
        <w:gridCol w:w="1428"/>
        <w:gridCol w:w="1428"/>
        <w:gridCol w:w="1428"/>
      </w:tblGrid>
      <w:tr>
        <w:tc>
          <w:tcPr>
            <w:tcW w:type="dxa" w:w="1428"/>
          </w:tcPr>
          <w:p>
            <w:r>
              <w:rPr>
                <w:b/>
                <w:sz w:val="17"/>
              </w:rPr>
              <w:t>System</w:t>
            </w:r>
          </w:p>
        </w:tc>
        <w:tc>
          <w:tcPr>
            <w:tcW w:type="dxa" w:w="1428"/>
          </w:tcPr>
          <w:p>
            <w:r>
              <w:rPr>
                <w:b/>
                <w:sz w:val="17"/>
              </w:rPr>
              <w:t>Variant gene</w:t>
            </w:r>
          </w:p>
        </w:tc>
        <w:tc>
          <w:tcPr>
            <w:tcW w:type="dxa" w:w="1428"/>
          </w:tcPr>
          <w:p>
            <w:r>
              <w:rPr>
                <w:b/>
                <w:sz w:val="17"/>
              </w:rPr>
              <w:t>Variants</w:t>
            </w:r>
          </w:p>
        </w:tc>
        <w:tc>
          <w:tcPr>
            <w:tcW w:type="dxa" w:w="1428"/>
          </w:tcPr>
          <w:p>
            <w:r>
              <w:rPr>
                <w:b/>
                <w:sz w:val="17"/>
              </w:rPr>
              <w:t>Mechanism-gradeable</w:t>
            </w:r>
          </w:p>
        </w:tc>
        <w:tc>
          <w:tcPr>
            <w:tcW w:type="dxa" w:w="1428"/>
          </w:tcPr>
          <w:p>
            <w:r>
              <w:rPr>
                <w:b/>
                <w:sz w:val="17"/>
              </w:rPr>
              <w:t>Pathogenic</w:t>
            </w:r>
          </w:p>
        </w:tc>
        <w:tc>
          <w:tcPr>
            <w:tcW w:type="dxa" w:w="1428"/>
          </w:tcPr>
          <w:p>
            <w:r>
              <w:rPr>
                <w:b/>
                <w:sz w:val="17"/>
              </w:rPr>
              <w:t>Structure</w:t>
            </w:r>
          </w:p>
        </w:tc>
        <w:tc>
          <w:tcPr>
            <w:tcW w:type="dxa" w:w="1428"/>
          </w:tcPr>
          <w:p>
            <w:r>
              <w:rPr>
                <w:b/>
                <w:sz w:val="17"/>
              </w:rPr>
              <w:t>Model source</w:t>
            </w:r>
          </w:p>
        </w:tc>
      </w:tr>
      <w:tr>
        <w:tc>
          <w:tcPr>
            <w:tcW w:type="dxa" w:w="1428"/>
          </w:tcPr>
          <w:p>
            <w:r>
              <w:rPr>
                <w:sz w:val="17"/>
              </w:rPr>
              <w:t>BRCA1 BRCT tandem domain (fold only)</w:t>
            </w:r>
          </w:p>
        </w:tc>
        <w:tc>
          <w:tcPr>
            <w:tcW w:type="dxa" w:w="1428"/>
          </w:tcPr>
          <w:p>
            <w:r>
              <w:rPr>
                <w:sz w:val="17"/>
              </w:rPr>
              <w:t>BRCA1</w:t>
            </w:r>
          </w:p>
        </w:tc>
        <w:tc>
          <w:tcPr>
            <w:tcW w:type="dxa" w:w="1428"/>
          </w:tcPr>
          <w:p>
            <w:r>
              <w:rPr>
                <w:sz w:val="17"/>
              </w:rPr>
              <w:t>12</w:t>
            </w:r>
          </w:p>
        </w:tc>
        <w:tc>
          <w:tcPr>
            <w:tcW w:type="dxa" w:w="1428"/>
          </w:tcPr>
          <w:p>
            <w:r>
              <w:rPr>
                <w:sz w:val="17"/>
              </w:rPr>
              <w:t>10</w:t>
            </w:r>
          </w:p>
        </w:tc>
        <w:tc>
          <w:tcPr>
            <w:tcW w:type="dxa" w:w="1428"/>
          </w:tcPr>
          <w:p>
            <w:r>
              <w:rPr>
                <w:sz w:val="17"/>
              </w:rPr>
              <w:t>0</w:t>
            </w:r>
          </w:p>
        </w:tc>
        <w:tc>
          <w:tcPr>
            <w:tcW w:type="dxa" w:w="1428"/>
          </w:tcPr>
          <w:p>
            <w:r>
              <w:rPr>
                <w:sz w:val="17"/>
              </w:rPr>
              <w:t>1JNX.pdb</w:t>
            </w:r>
          </w:p>
        </w:tc>
        <w:tc>
          <w:tcPr>
            <w:tcW w:type="dxa" w:w="1428"/>
          </w:tcPr>
          <w:p>
            <w:r>
              <w:rPr>
                <w:sz w:val="17"/>
              </w:rPr>
              <w:t>Experimental</w:t>
            </w:r>
          </w:p>
        </w:tc>
      </w:tr>
      <w:tr>
        <w:tc>
          <w:tcPr>
            <w:tcW w:type="dxa" w:w="1428"/>
          </w:tcPr>
          <w:p>
            <w:r>
              <w:rPr>
                <w:sz w:val="17"/>
              </w:rPr>
              <w:t>BRCA1-BARD1 RING heterodimer</w:t>
            </w:r>
          </w:p>
        </w:tc>
        <w:tc>
          <w:tcPr>
            <w:tcW w:type="dxa" w:w="1428"/>
          </w:tcPr>
          <w:p>
            <w:r>
              <w:rPr>
                <w:sz w:val="17"/>
              </w:rPr>
              <w:t>BRCA1</w:t>
            </w:r>
          </w:p>
        </w:tc>
        <w:tc>
          <w:tcPr>
            <w:tcW w:type="dxa" w:w="1428"/>
          </w:tcPr>
          <w:p>
            <w:r>
              <w:rPr>
                <w:sz w:val="17"/>
              </w:rPr>
              <w:t>4</w:t>
            </w:r>
          </w:p>
        </w:tc>
        <w:tc>
          <w:tcPr>
            <w:tcW w:type="dxa" w:w="1428"/>
          </w:tcPr>
          <w:p>
            <w:r>
              <w:rPr>
                <w:sz w:val="17"/>
              </w:rPr>
              <w:t>4</w:t>
            </w:r>
          </w:p>
        </w:tc>
        <w:tc>
          <w:tcPr>
            <w:tcW w:type="dxa" w:w="1428"/>
          </w:tcPr>
          <w:p>
            <w:r>
              <w:rPr>
                <w:sz w:val="17"/>
              </w:rPr>
              <w:t>2</w:t>
            </w:r>
          </w:p>
        </w:tc>
        <w:tc>
          <w:tcPr>
            <w:tcW w:type="dxa" w:w="1428"/>
          </w:tcPr>
          <w:p>
            <w:r>
              <w:rPr>
                <w:sz w:val="17"/>
              </w:rPr>
              <w:t>1JM7.pdb</w:t>
            </w:r>
          </w:p>
        </w:tc>
        <w:tc>
          <w:tcPr>
            <w:tcW w:type="dxa" w:w="1428"/>
          </w:tcPr>
          <w:p>
            <w:r>
              <w:rPr>
                <w:sz w:val="17"/>
              </w:rPr>
              <w:t>Experimental</w:t>
            </w:r>
          </w:p>
        </w:tc>
      </w:tr>
      <w:tr>
        <w:tc>
          <w:tcPr>
            <w:tcW w:type="dxa" w:w="1428"/>
          </w:tcPr>
          <w:p>
            <w:r>
              <w:rPr>
                <w:sz w:val="17"/>
              </w:rPr>
              <w:t>Calmodulin-Ca(v)1.2 IQ domain</w:t>
            </w:r>
          </w:p>
        </w:tc>
        <w:tc>
          <w:tcPr>
            <w:tcW w:type="dxa" w:w="1428"/>
          </w:tcPr>
          <w:p>
            <w:r>
              <w:rPr>
                <w:sz w:val="17"/>
              </w:rPr>
              <w:t>CALM1</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fold_calm1_cacna1c_model_0.pdb</w:t>
            </w:r>
          </w:p>
        </w:tc>
        <w:tc>
          <w:tcPr>
            <w:tcW w:type="dxa" w:w="1428"/>
          </w:tcPr>
          <w:p>
            <w:r>
              <w:rPr>
                <w:sz w:val="17"/>
              </w:rPr>
              <w:t>AlphaFold</w:t>
            </w:r>
          </w:p>
        </w:tc>
      </w:tr>
      <w:tr>
        <w:tc>
          <w:tcPr>
            <w:tcW w:type="dxa" w:w="1428"/>
          </w:tcPr>
          <w:p>
            <w:r>
              <w:rPr>
                <w:sz w:val="17"/>
              </w:rPr>
              <w:t>Complement factor H-C3b</w:t>
            </w:r>
          </w:p>
        </w:tc>
        <w:tc>
          <w:tcPr>
            <w:tcW w:type="dxa" w:w="1428"/>
          </w:tcPr>
          <w:p>
            <w:r>
              <w:rPr>
                <w:sz w:val="17"/>
              </w:rPr>
              <w:t>CFH</w:t>
            </w:r>
          </w:p>
        </w:tc>
        <w:tc>
          <w:tcPr>
            <w:tcW w:type="dxa" w:w="1428"/>
          </w:tcPr>
          <w:p>
            <w:r>
              <w:rPr>
                <w:sz w:val="17"/>
              </w:rPr>
              <w:t>3</w:t>
            </w:r>
          </w:p>
        </w:tc>
        <w:tc>
          <w:tcPr>
            <w:tcW w:type="dxa" w:w="1428"/>
          </w:tcPr>
          <w:p>
            <w:r>
              <w:rPr>
                <w:sz w:val="17"/>
              </w:rPr>
              <w:t>3</w:t>
            </w:r>
          </w:p>
        </w:tc>
        <w:tc>
          <w:tcPr>
            <w:tcW w:type="dxa" w:w="1428"/>
          </w:tcPr>
          <w:p>
            <w:r>
              <w:rPr>
                <w:sz w:val="17"/>
              </w:rPr>
              <w:t>2</w:t>
            </w:r>
          </w:p>
        </w:tc>
        <w:tc>
          <w:tcPr>
            <w:tcW w:type="dxa" w:w="1428"/>
          </w:tcPr>
          <w:p>
            <w:r>
              <w:rPr>
                <w:sz w:val="17"/>
              </w:rPr>
              <w:t>2WII_trim.pdb</w:t>
            </w:r>
          </w:p>
        </w:tc>
        <w:tc>
          <w:tcPr>
            <w:tcW w:type="dxa" w:w="1428"/>
          </w:tcPr>
          <w:p>
            <w:r>
              <w:rPr>
                <w:sz w:val="17"/>
              </w:rPr>
              <w:t>Experimental</w:t>
            </w:r>
          </w:p>
        </w:tc>
      </w:tr>
      <w:tr>
        <w:tc>
          <w:tcPr>
            <w:tcW w:type="dxa" w:w="1428"/>
          </w:tcPr>
          <w:p>
            <w:r>
              <w:rPr>
                <w:sz w:val="17"/>
              </w:rPr>
              <w:t>Haemoglobin alpha-beta dimer</w:t>
            </w:r>
          </w:p>
        </w:tc>
        <w:tc>
          <w:tcPr>
            <w:tcW w:type="dxa" w:w="1428"/>
          </w:tcPr>
          <w:p>
            <w:r>
              <w:rPr>
                <w:sz w:val="17"/>
              </w:rPr>
              <w:t>HBB</w:t>
            </w:r>
          </w:p>
        </w:tc>
        <w:tc>
          <w:tcPr>
            <w:tcW w:type="dxa" w:w="1428"/>
          </w:tcPr>
          <w:p>
            <w:r>
              <w:rPr>
                <w:sz w:val="17"/>
              </w:rPr>
              <w:t>1</w:t>
            </w:r>
          </w:p>
        </w:tc>
        <w:tc>
          <w:tcPr>
            <w:tcW w:type="dxa" w:w="1428"/>
          </w:tcPr>
          <w:p>
            <w:r>
              <w:rPr>
                <w:sz w:val="17"/>
              </w:rPr>
              <w:t>1</w:t>
            </w:r>
          </w:p>
        </w:tc>
        <w:tc>
          <w:tcPr>
            <w:tcW w:type="dxa" w:w="1428"/>
          </w:tcPr>
          <w:p>
            <w:r>
              <w:rPr>
                <w:sz w:val="17"/>
              </w:rPr>
              <w:t>1</w:t>
            </w:r>
          </w:p>
        </w:tc>
        <w:tc>
          <w:tcPr>
            <w:tcW w:type="dxa" w:w="1428"/>
          </w:tcPr>
          <w:p>
            <w:r>
              <w:rPr>
                <w:sz w:val="17"/>
              </w:rPr>
              <w:t>2HHB.pdb</w:t>
            </w:r>
          </w:p>
        </w:tc>
        <w:tc>
          <w:tcPr>
            <w:tcW w:type="dxa" w:w="1428"/>
          </w:tcPr>
          <w:p>
            <w:r>
              <w:rPr>
                <w:sz w:val="17"/>
              </w:rPr>
              <w:t>Experimental</w:t>
            </w:r>
          </w:p>
        </w:tc>
      </w:tr>
      <w:tr>
        <w:tc>
          <w:tcPr>
            <w:tcW w:type="dxa" w:w="1428"/>
          </w:tcPr>
          <w:p>
            <w:r>
              <w:rPr>
                <w:sz w:val="17"/>
              </w:rPr>
              <w:t>Haemoglobin tetramer</w:t>
            </w:r>
          </w:p>
        </w:tc>
        <w:tc>
          <w:tcPr>
            <w:tcW w:type="dxa" w:w="1428"/>
          </w:tcPr>
          <w:p>
            <w:r>
              <w:rPr>
                <w:sz w:val="17"/>
              </w:rPr>
              <w:t>HBB</w:t>
            </w:r>
          </w:p>
        </w:tc>
        <w:tc>
          <w:tcPr>
            <w:tcW w:type="dxa" w:w="1428"/>
          </w:tcPr>
          <w:p>
            <w:r>
              <w:rPr>
                <w:sz w:val="17"/>
              </w:rPr>
              <w:t>5</w:t>
            </w:r>
          </w:p>
        </w:tc>
        <w:tc>
          <w:tcPr>
            <w:tcW w:type="dxa" w:w="1428"/>
          </w:tcPr>
          <w:p>
            <w:r>
              <w:rPr>
                <w:sz w:val="17"/>
              </w:rPr>
              <w:t>5</w:t>
            </w:r>
          </w:p>
        </w:tc>
        <w:tc>
          <w:tcPr>
            <w:tcW w:type="dxa" w:w="1428"/>
          </w:tcPr>
          <w:p>
            <w:r>
              <w:rPr>
                <w:sz w:val="17"/>
              </w:rPr>
              <w:t>5</w:t>
            </w:r>
          </w:p>
        </w:tc>
        <w:tc>
          <w:tcPr>
            <w:tcW w:type="dxa" w:w="1428"/>
          </w:tcPr>
          <w:p>
            <w:r>
              <w:rPr>
                <w:sz w:val="17"/>
              </w:rPr>
              <w:t>2HHB.pdb</w:t>
            </w:r>
          </w:p>
        </w:tc>
        <w:tc>
          <w:tcPr>
            <w:tcW w:type="dxa" w:w="1428"/>
          </w:tcPr>
          <w:p>
            <w:r>
              <w:rPr>
                <w:sz w:val="17"/>
              </w:rPr>
              <w:t>Experimental</w:t>
            </w:r>
          </w:p>
        </w:tc>
      </w:tr>
      <w:tr>
        <w:tc>
          <w:tcPr>
            <w:tcW w:type="dxa" w:w="1428"/>
          </w:tcPr>
          <w:p>
            <w:r>
              <w:rPr>
                <w:sz w:val="17"/>
              </w:rPr>
              <w:t>KRAS-CRAF RBD</w:t>
            </w:r>
          </w:p>
        </w:tc>
        <w:tc>
          <w:tcPr>
            <w:tcW w:type="dxa" w:w="1428"/>
          </w:tcPr>
          <w:p>
            <w:r>
              <w:rPr>
                <w:sz w:val="17"/>
              </w:rPr>
              <w:t>KRAS</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6XI7.pdb</w:t>
            </w:r>
          </w:p>
        </w:tc>
        <w:tc>
          <w:tcPr>
            <w:tcW w:type="dxa" w:w="1428"/>
          </w:tcPr>
          <w:p>
            <w:r>
              <w:rPr>
                <w:sz w:val="17"/>
              </w:rPr>
              <w:t>Experimental</w:t>
            </w:r>
          </w:p>
        </w:tc>
      </w:tr>
      <w:tr>
        <w:tc>
          <w:tcPr>
            <w:tcW w:type="dxa" w:w="1428"/>
          </w:tcPr>
          <w:p>
            <w:r>
              <w:rPr>
                <w:sz w:val="17"/>
              </w:rPr>
              <w:t>MLH1-PMS2 C-terminal heterodimer</w:t>
            </w:r>
          </w:p>
        </w:tc>
        <w:tc>
          <w:tcPr>
            <w:tcW w:type="dxa" w:w="1428"/>
          </w:tcPr>
          <w:p>
            <w:r>
              <w:rPr>
                <w:sz w:val="17"/>
              </w:rPr>
              <w:t>MLH1/PMS2</w:t>
            </w:r>
          </w:p>
        </w:tc>
        <w:tc>
          <w:tcPr>
            <w:tcW w:type="dxa" w:w="1428"/>
          </w:tcPr>
          <w:p>
            <w:r>
              <w:rPr>
                <w:sz w:val="17"/>
              </w:rPr>
              <w:t>7</w:t>
            </w:r>
          </w:p>
        </w:tc>
        <w:tc>
          <w:tcPr>
            <w:tcW w:type="dxa" w:w="1428"/>
          </w:tcPr>
          <w:p>
            <w:r>
              <w:rPr>
                <w:sz w:val="17"/>
              </w:rPr>
              <w:t>7</w:t>
            </w:r>
          </w:p>
        </w:tc>
        <w:tc>
          <w:tcPr>
            <w:tcW w:type="dxa" w:w="1428"/>
          </w:tcPr>
          <w:p>
            <w:r>
              <w:rPr>
                <w:sz w:val="17"/>
              </w:rPr>
              <w:t>3</w:t>
            </w:r>
          </w:p>
        </w:tc>
        <w:tc>
          <w:tcPr>
            <w:tcW w:type="dxa" w:w="1428"/>
          </w:tcPr>
          <w:p>
            <w:r>
              <w:rPr>
                <w:sz w:val="17"/>
              </w:rPr>
              <w:t>fold_mlh1_pms2_model_0.pdb</w:t>
            </w:r>
          </w:p>
        </w:tc>
        <w:tc>
          <w:tcPr>
            <w:tcW w:type="dxa" w:w="1428"/>
          </w:tcPr>
          <w:p>
            <w:r>
              <w:rPr>
                <w:sz w:val="17"/>
              </w:rPr>
              <w:t>AlphaFold</w:t>
            </w:r>
          </w:p>
        </w:tc>
      </w:tr>
      <w:tr>
        <w:tc>
          <w:tcPr>
            <w:tcW w:type="dxa" w:w="1428"/>
          </w:tcPr>
          <w:p>
            <w:r>
              <w:rPr>
                <w:sz w:val="17"/>
              </w:rPr>
              <w:t>MSH2-MSH6 heterodimer</w:t>
            </w:r>
          </w:p>
        </w:tc>
        <w:tc>
          <w:tcPr>
            <w:tcW w:type="dxa" w:w="1428"/>
          </w:tcPr>
          <w:p>
            <w:r>
              <w:rPr>
                <w:sz w:val="17"/>
              </w:rPr>
              <w:t>MSH2</w:t>
            </w:r>
          </w:p>
        </w:tc>
        <w:tc>
          <w:tcPr>
            <w:tcW w:type="dxa" w:w="1428"/>
          </w:tcPr>
          <w:p>
            <w:r>
              <w:rPr>
                <w:sz w:val="17"/>
              </w:rPr>
              <w:t>5</w:t>
            </w:r>
          </w:p>
        </w:tc>
        <w:tc>
          <w:tcPr>
            <w:tcW w:type="dxa" w:w="1428"/>
          </w:tcPr>
          <w:p>
            <w:r>
              <w:rPr>
                <w:sz w:val="17"/>
              </w:rPr>
              <w:t>5</w:t>
            </w:r>
          </w:p>
        </w:tc>
        <w:tc>
          <w:tcPr>
            <w:tcW w:type="dxa" w:w="1428"/>
          </w:tcPr>
          <w:p>
            <w:r>
              <w:rPr>
                <w:sz w:val="17"/>
              </w:rPr>
              <w:t>3</w:t>
            </w:r>
          </w:p>
        </w:tc>
        <w:tc>
          <w:tcPr>
            <w:tcW w:type="dxa" w:w="1428"/>
          </w:tcPr>
          <w:p>
            <w:r>
              <w:rPr>
                <w:sz w:val="17"/>
              </w:rPr>
              <w:t>fold_msh2_msh6_model_0.pdb</w:t>
            </w:r>
          </w:p>
        </w:tc>
        <w:tc>
          <w:tcPr>
            <w:tcW w:type="dxa" w:w="1428"/>
          </w:tcPr>
          <w:p>
            <w:r>
              <w:rPr>
                <w:sz w:val="17"/>
              </w:rPr>
              <w:t>AlphaFold</w:t>
            </w:r>
          </w:p>
        </w:tc>
      </w:tr>
      <w:tr>
        <w:tc>
          <w:tcPr>
            <w:tcW w:type="dxa" w:w="1428"/>
          </w:tcPr>
          <w:p>
            <w:r>
              <w:rPr>
                <w:sz w:val="17"/>
              </w:rPr>
              <w:t>PI3K p110alpha-p85alpha</w:t>
            </w:r>
          </w:p>
        </w:tc>
        <w:tc>
          <w:tcPr>
            <w:tcW w:type="dxa" w:w="1428"/>
          </w:tcPr>
          <w:p>
            <w:r>
              <w:rPr>
                <w:sz w:val="17"/>
              </w:rPr>
              <w:t>PIK3CA/PIK3R1</w:t>
            </w:r>
          </w:p>
        </w:tc>
        <w:tc>
          <w:tcPr>
            <w:tcW w:type="dxa" w:w="1428"/>
          </w:tcPr>
          <w:p>
            <w:r>
              <w:rPr>
                <w:sz w:val="17"/>
              </w:rPr>
              <w:t>5</w:t>
            </w:r>
          </w:p>
        </w:tc>
        <w:tc>
          <w:tcPr>
            <w:tcW w:type="dxa" w:w="1428"/>
          </w:tcPr>
          <w:p>
            <w:r>
              <w:rPr>
                <w:sz w:val="17"/>
              </w:rPr>
              <w:t>5</w:t>
            </w:r>
          </w:p>
        </w:tc>
        <w:tc>
          <w:tcPr>
            <w:tcW w:type="dxa" w:w="1428"/>
          </w:tcPr>
          <w:p>
            <w:r>
              <w:rPr>
                <w:sz w:val="17"/>
              </w:rPr>
              <w:t>4</w:t>
            </w:r>
          </w:p>
        </w:tc>
        <w:tc>
          <w:tcPr>
            <w:tcW w:type="dxa" w:w="1428"/>
          </w:tcPr>
          <w:p>
            <w:r>
              <w:rPr>
                <w:sz w:val="17"/>
              </w:rPr>
              <w:t>fold_pik3ca_pik3r1_model_0.pdb</w:t>
            </w:r>
          </w:p>
        </w:tc>
        <w:tc>
          <w:tcPr>
            <w:tcW w:type="dxa" w:w="1428"/>
          </w:tcPr>
          <w:p>
            <w:r>
              <w:rPr>
                <w:sz w:val="17"/>
              </w:rPr>
              <w:t>AlphaFold</w:t>
            </w:r>
          </w:p>
        </w:tc>
      </w:tr>
      <w:tr>
        <w:tc>
          <w:tcPr>
            <w:tcW w:type="dxa" w:w="1428"/>
          </w:tcPr>
          <w:p>
            <w:r>
              <w:rPr>
                <w:sz w:val="17"/>
              </w:rPr>
              <w:t>SMAD4-SMAD3 MH2 complex</w:t>
            </w:r>
          </w:p>
        </w:tc>
        <w:tc>
          <w:tcPr>
            <w:tcW w:type="dxa" w:w="1428"/>
          </w:tcPr>
          <w:p>
            <w:r>
              <w:rPr>
                <w:sz w:val="17"/>
              </w:rPr>
              <w:t>SMAD4</w:t>
            </w:r>
          </w:p>
        </w:tc>
        <w:tc>
          <w:tcPr>
            <w:tcW w:type="dxa" w:w="1428"/>
          </w:tcPr>
          <w:p>
            <w:r>
              <w:rPr>
                <w:sz w:val="17"/>
              </w:rPr>
              <w:t>4</w:t>
            </w:r>
          </w:p>
        </w:tc>
        <w:tc>
          <w:tcPr>
            <w:tcW w:type="dxa" w:w="1428"/>
          </w:tcPr>
          <w:p>
            <w:r>
              <w:rPr>
                <w:sz w:val="17"/>
              </w:rPr>
              <w:t>4</w:t>
            </w:r>
          </w:p>
        </w:tc>
        <w:tc>
          <w:tcPr>
            <w:tcW w:type="dxa" w:w="1428"/>
          </w:tcPr>
          <w:p>
            <w:r>
              <w:rPr>
                <w:sz w:val="17"/>
              </w:rPr>
              <w:t>4</w:t>
            </w:r>
          </w:p>
        </w:tc>
        <w:tc>
          <w:tcPr>
            <w:tcW w:type="dxa" w:w="1428"/>
          </w:tcPr>
          <w:p>
            <w:r>
              <w:rPr>
                <w:sz w:val="17"/>
              </w:rPr>
              <w:t>fold_smad4_smad3_model_0.pdb</w:t>
            </w:r>
          </w:p>
        </w:tc>
        <w:tc>
          <w:tcPr>
            <w:tcW w:type="dxa" w:w="1428"/>
          </w:tcPr>
          <w:p>
            <w:r>
              <w:rPr>
                <w:sz w:val="17"/>
              </w:rPr>
              <w:t>AlphaFold</w:t>
            </w:r>
          </w:p>
        </w:tc>
      </w:tr>
      <w:tr>
        <w:tc>
          <w:tcPr>
            <w:tcW w:type="dxa" w:w="1428"/>
          </w:tcPr>
          <w:p>
            <w:r>
              <w:rPr>
                <w:sz w:val="17"/>
              </w:rPr>
              <w:t>Troponin I-troponin C</w:t>
            </w:r>
          </w:p>
        </w:tc>
        <w:tc>
          <w:tcPr>
            <w:tcW w:type="dxa" w:w="1428"/>
          </w:tcPr>
          <w:p>
            <w:r>
              <w:rPr>
                <w:sz w:val="17"/>
              </w:rPr>
              <w:t>TNNI3</w:t>
            </w:r>
          </w:p>
        </w:tc>
        <w:tc>
          <w:tcPr>
            <w:tcW w:type="dxa" w:w="1428"/>
          </w:tcPr>
          <w:p>
            <w:r>
              <w:rPr>
                <w:sz w:val="17"/>
              </w:rPr>
              <w:t>4</w:t>
            </w:r>
          </w:p>
        </w:tc>
        <w:tc>
          <w:tcPr>
            <w:tcW w:type="dxa" w:w="1428"/>
          </w:tcPr>
          <w:p>
            <w:r>
              <w:rPr>
                <w:sz w:val="17"/>
              </w:rPr>
              <w:t>3</w:t>
            </w:r>
          </w:p>
        </w:tc>
        <w:tc>
          <w:tcPr>
            <w:tcW w:type="dxa" w:w="1428"/>
          </w:tcPr>
          <w:p>
            <w:r>
              <w:rPr>
                <w:sz w:val="17"/>
              </w:rPr>
              <w:t>3</w:t>
            </w:r>
          </w:p>
        </w:tc>
        <w:tc>
          <w:tcPr>
            <w:tcW w:type="dxa" w:w="1428"/>
          </w:tcPr>
          <w:p>
            <w:r>
              <w:rPr>
                <w:sz w:val="17"/>
              </w:rPr>
              <w:t>fold_tnni3_tnnc1_model_0.pdb</w:t>
            </w:r>
          </w:p>
        </w:tc>
        <w:tc>
          <w:tcPr>
            <w:tcW w:type="dxa" w:w="1428"/>
          </w:tcPr>
          <w:p>
            <w:r>
              <w:rPr>
                <w:sz w:val="17"/>
              </w:rPr>
              <w:t>AlphaFold</w:t>
            </w:r>
          </w:p>
        </w:tc>
      </w:tr>
      <w:tr>
        <w:tc>
          <w:tcPr>
            <w:tcW w:type="dxa" w:w="1428"/>
          </w:tcPr>
          <w:p>
            <w:r>
              <w:rPr>
                <w:sz w:val="17"/>
              </w:rPr>
              <w:t>VHL-elongin C</w:t>
            </w:r>
          </w:p>
        </w:tc>
        <w:tc>
          <w:tcPr>
            <w:tcW w:type="dxa" w:w="1428"/>
          </w:tcPr>
          <w:p>
            <w:r>
              <w:rPr>
                <w:sz w:val="17"/>
              </w:rPr>
              <w:t>VHL</w:t>
            </w:r>
          </w:p>
        </w:tc>
        <w:tc>
          <w:tcPr>
            <w:tcW w:type="dxa" w:w="1428"/>
          </w:tcPr>
          <w:p>
            <w:r>
              <w:rPr>
                <w:sz w:val="17"/>
              </w:rPr>
              <w:t>3</w:t>
            </w:r>
          </w:p>
        </w:tc>
        <w:tc>
          <w:tcPr>
            <w:tcW w:type="dxa" w:w="1428"/>
          </w:tcPr>
          <w:p>
            <w:r>
              <w:rPr>
                <w:sz w:val="17"/>
              </w:rPr>
              <w:t>2</w:t>
            </w:r>
          </w:p>
        </w:tc>
        <w:tc>
          <w:tcPr>
            <w:tcW w:type="dxa" w:w="1428"/>
          </w:tcPr>
          <w:p>
            <w:r>
              <w:rPr>
                <w:sz w:val="17"/>
              </w:rPr>
              <w:t>3</w:t>
            </w:r>
          </w:p>
        </w:tc>
        <w:tc>
          <w:tcPr>
            <w:tcW w:type="dxa" w:w="1428"/>
          </w:tcPr>
          <w:p>
            <w:r>
              <w:rPr>
                <w:sz w:val="17"/>
              </w:rPr>
              <w:t>fold_vhl_tceb1_model_0.pdb</w:t>
            </w:r>
          </w:p>
        </w:tc>
        <w:tc>
          <w:tcPr>
            <w:tcW w:type="dxa" w:w="1428"/>
          </w:tcPr>
          <w:p>
            <w:r>
              <w:rPr>
                <w:sz w:val="17"/>
              </w:rPr>
              <w:t>AlphaFold</w:t>
            </w:r>
          </w:p>
        </w:tc>
      </w:tr>
      <w:tr>
        <w:tc>
          <w:tcPr>
            <w:tcW w:type="dxa" w:w="1428"/>
          </w:tcPr>
          <w:p>
            <w:r>
              <w:rPr>
                <w:sz w:val="17"/>
              </w:rPr>
              <w:t>VWF A1-GPIb alpha</w:t>
            </w:r>
          </w:p>
        </w:tc>
        <w:tc>
          <w:tcPr>
            <w:tcW w:type="dxa" w:w="1428"/>
          </w:tcPr>
          <w:p>
            <w:r>
              <w:rPr>
                <w:sz w:val="17"/>
              </w:rPr>
              <w:t>VWF</w:t>
            </w:r>
          </w:p>
        </w:tc>
        <w:tc>
          <w:tcPr>
            <w:tcW w:type="dxa" w:w="1428"/>
          </w:tcPr>
          <w:p>
            <w:r>
              <w:rPr>
                <w:sz w:val="17"/>
              </w:rPr>
              <w:t>2</w:t>
            </w:r>
          </w:p>
        </w:tc>
        <w:tc>
          <w:tcPr>
            <w:tcW w:type="dxa" w:w="1428"/>
          </w:tcPr>
          <w:p>
            <w:r>
              <w:rPr>
                <w:sz w:val="17"/>
              </w:rPr>
              <w:t>2</w:t>
            </w:r>
          </w:p>
        </w:tc>
        <w:tc>
          <w:tcPr>
            <w:tcW w:type="dxa" w:w="1428"/>
          </w:tcPr>
          <w:p>
            <w:r>
              <w:rPr>
                <w:sz w:val="17"/>
              </w:rPr>
              <w:t>1</w:t>
            </w:r>
          </w:p>
        </w:tc>
        <w:tc>
          <w:tcPr>
            <w:tcW w:type="dxa" w:w="1428"/>
          </w:tcPr>
          <w:p>
            <w:r>
              <w:rPr>
                <w:sz w:val="17"/>
              </w:rPr>
              <w:t>1SQ0.pdb</w:t>
            </w:r>
          </w:p>
        </w:tc>
        <w:tc>
          <w:tcPr>
            <w:tcW w:type="dxa" w:w="1428"/>
          </w:tcPr>
          <w:p>
            <w:r>
              <w:rPr>
                <w:sz w:val="17"/>
              </w:rPr>
              <w:t>Experimental</w:t>
            </w:r>
          </w:p>
        </w:tc>
      </w:tr>
    </w:tbl>
    <w:p w14:paraId="36E948F0" w14:textId="77777777">
      <w:r>
        <w:rPr>
          <w:rFonts w:ascii="Arial" w:hAnsi="Arial" w:eastAsia="Arial"/>
        </w:rPr>
        <w:t>Primary literature defined the expected direction of each applicable energy calculation before COMAVI results were considered. Evidence was classified as quantitative energetic, quantitative functional, qualitative experimental, population-supported, or inferred, and by how directly it supported the structural effect. An inferred expectation was used when published mechanistic or retained-function evidence supported a specific modeled axis state but no axis-specific assay was available; the absence of a dedicated assay alone was not treated as evidence. Unknown or inapplicable axes were omitted rather than treated as negative. S2 Table gives the definitions and counts.</w:t>
      </w:r>
    </w:p>
    <w:p w14:paraId="2E9FE1CD" w14:textId="77777777">
      <w:r>
        <w:rPr>
          <w:rFonts w:ascii="Arial" w:hAnsi="Arial" w:eastAsia="Arial"/>
        </w:rPr>
        <w:t>Because disruptive variants are more likely than neutral controls to receive dedicated biophysical measurements, all evidence categories were retained in the main benchmark. We then repeated the tier analysis in stricter subsets. Requiring E1-E3 support for every committed axis retained n = 26 and gave sensitivity 0.875 and specificity 0.600; requiring direct-or-coupled support retained the same 26 variants and gave the same values. These were sensitivity analyses, not alternative benchmark definitions, and they did not fit evidence weights or retune tier boundaries. Population-supported and inferred neutral expectations were reported as such, not as measured neutrality.</w:t>
      </w:r>
    </w:p>
    <w:p w14:paraId="723E0443" w14:textId="77777777">
      <w:pPr>
        <w:pStyle w:val="Heading3"/>
      </w:pPr>
      <w:r>
        <w:t>2.2.1 Model scope: can the supplied structure represent the mechanism?</w:t>
      </w:r>
    </w:p>
    <w:p w14:paraId="503671E1" w14:textId="77777777">
      <w:r>
        <w:t xml:space="preserve">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t>does not infer a literature-grounded mechanism or model-scope class. S3 Table gives the framework.</w:t>
      </w:r>
    </w:p>
    <w:p w14:paraId="53BBA22C" w14:textId="77777777">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w14:paraId="60495F3A" w14:textId="77777777">
      <w:pPr>
        <w:pStyle w:val="Heading2"/>
      </w:pPr>
      <w:r>
        <w:t>2.3 Structures and energy calculations</w:t>
      </w:r>
    </w:p>
    <w:p w14:paraId="79D72DD3" w14:textId="77777777">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S3 Table states the eligibility rules and the mechanisms they exclude. Complex structures were predicted with the AlphaFold 3 server [39]. Experimental structures replaced predicted models when the relevant site or interface lacked adequate confidence: 2HHB for hemoglobin, 6XI7 for KRAS-RAF1, and 1JM7 for BRCA1-BARD1. The BRCA1 tandem-BRCT monomer panel used 1JNX. All energy calculations used FoldX 5.1 [40] with default energy-function parameters. Each structure was repaired once with RepairPDB and reused across variants.</w:t>
      </w:r>
    </w:p>
    <w:p w14:paraId="4F05FE39" w14:textId="77777777">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AnalyseComplex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w14:paraId="33F6B33D" w14:textId="77777777">
      <w:r>
        <w:t>BuildModel and AnalyseComplex answer different questions. BuildModel estimates folding-energy changes for the chains and coordinates supplied to it; AnalyseComplex estimates changes in inter-chain interaction energy. Calculating both prevents an interface-localized fold signal from being mislabeled as a binding-energy change and permits combined fold-plus-binding profiles when both axes fire.</w:t>
      </w:r>
    </w:p>
    <w:p w14:paraId="1A46FF88" w14:textId="77777777">
      <w:pPr>
        <w:pStyle w:val="Heading2"/>
      </w:pPr>
      <w:r>
        <w:t>2.4 Structural confidence and usable outputs</w:t>
      </w:r>
    </w:p>
    <w:p w14:paraId="30C5CC1D" w14:textId="77777777">
      <w:r>
        <w:rPr>
          <w:rFonts w:ascii="Arial" w:hAnsi="Arial" w:eastAsia="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w14:paraId="2F3447DB" w14:textId="77777777">
      <w:pPr>
        <w:pStyle w:val="Heading2"/>
      </w:pPr>
      <w:r>
        <w:t>2.5 Structural-context tier and priority score</w:t>
      </w:r>
    </w:p>
    <w:p w14:paraId="03B575CD" w14:textId="77777777">
      <w:r>
        <w:rPr>
          <w:rFonts w:ascii="Arial" w:hAnsi="Arial" w:eastAsia="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S1 Text gives the exact weights and cutoffs.</w:t>
      </w:r>
    </w:p>
    <w:p w14:paraId="6374F9C2" w14:textId="77777777">
      <w:r>
        <w:rPr>
          <w:rFonts w:ascii="Arial" w:hAnsi="Arial" w:eastAsia="Arial"/>
        </w:rPr>
        <w:t>Because interface occupancy contributes directly to the tier, we tested how much it drove the result. On the same 47-variant prioritization subset, we compared the full tier with interface status alone and with the tier recalculated without its interface bonus. S5 Text, S3 Fig, and the within-system tests report these comparisons.</w:t>
      </w:r>
    </w:p>
    <w:p w14:paraId="199E81D6" w14:textId="77777777">
      <w:r>
        <w:rPr>
          <w:rFonts w:ascii="Arial" w:hAnsi="Arial" w:eastAsia="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w14:paraId="70E7B9F8" w14:textId="77777777">
      <w:r>
        <w:rPr>
          <w:rFonts w:ascii="Arial" w:hAnsi="Arial" w:eastAsia="Arial"/>
        </w:rPr>
        <w:t>For each usable energetic calculation j, COMAVI divides |ΔΔG_j| by a fixed reference value τ_j: 2.9 kcal/mol for isolated-subunit and assembled-complex stability and 3.5 kcal/mol for binding. The largest ratio, R, represents the strongest reliable energetic signal without adding correlated isolated and assembled stability effects.</w:t>
      </w:r>
    </w:p>
    <w:p>
      <w:pPr>
        <w:keepNext/>
        <w:spacing w:before="60" w:after="60"/>
        <w:jc w:val="center"/>
      </w:pPr>
      <w:r>
        <w:rPr>
          <w:rFonts w:ascii="Cambria Math" w:hAnsi="Cambria Math" w:eastAsia="Cambria Math"/>
          <w:b/>
          <w:sz w:val="23"/>
        </w:rPr>
        <w:t>R = max_j (|ΔΔG_j| / τ_j)</w:t>
      </w:r>
    </w:p>
    <w:p w14:paraId="04D64706" w14:textId="77777777">
      <w:r>
        <w:rPr>
          <w:rFonts w:ascii="Arial" w:hAnsi="Arial" w:eastAsia="Arial"/>
        </w:rPr>
        <w:t>COMAVI softly compresses R so that one extreme FoldX prediction cannot dominate the ranking.</w:t>
      </w:r>
    </w:p>
    <w:p>
      <w:pPr>
        <w:keepNext/>
        <w:spacing w:before="60" w:after="60"/>
        <w:jc w:val="center"/>
      </w:pPr>
      <w:r>
        <w:rPr>
          <w:rFonts w:ascii="Cambria Math" w:hAnsi="Cambria Math" w:eastAsia="Cambria Math"/>
          <w:b/>
          <w:sz w:val="23"/>
        </w:rPr>
        <w:t>E = R / (1 + R)</w:t>
      </w:r>
    </w:p>
    <w:p w14:paraId="2B6F6242" w14:textId="77777777">
      <w:r>
        <w:rPr>
          <w:rFonts w:ascii="Arial" w:hAnsi="Arial" w:eastAsia="Arial"/>
        </w:rPr>
        <w:t>The tier number T is converted to a context component C, mapping Tiers 1-4 to 1.000, 0.667, 0.333, and 0.</w:t>
      </w:r>
    </w:p>
    <w:p>
      <w:pPr>
        <w:keepNext/>
        <w:spacing w:before="60" w:after="60"/>
        <w:jc w:val="center"/>
      </w:pPr>
      <w:r>
        <w:rPr>
          <w:rFonts w:ascii="Cambria Math" w:hAnsi="Cambria Math" w:eastAsia="Cambria Math"/>
          <w:b/>
          <w:sz w:val="23"/>
        </w:rPr>
        <w:t>C = (4 - T) / 3</w:t>
      </w:r>
    </w:p>
    <w:p>
      <w:pPr>
        <w:keepNext/>
        <w:spacing w:before="60" w:after="60"/>
        <w:jc w:val="center"/>
      </w:pPr>
      <w:r>
        <w:rPr>
          <w:rFonts w:ascii="Cambria Math" w:hAnsi="Cambria Math" w:eastAsia="Cambria Math"/>
          <w:b/>
          <w:sz w:val="23"/>
        </w:rPr>
        <w:t>ISDS-v1 = (E + C) / 2</w:t>
      </w:r>
    </w:p>
    <w:p w14:paraId="6B1956D7" w14:textId="77777777">
      <w:r>
        <w:rPr>
          <w:rFonts w:ascii="Arial" w:hAnsi="Arial" w:eastAsia="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w14:paraId="46256047" w14:textId="77777777">
      <w:pPr>
        <w:pStyle w:val="Heading2"/>
      </w:pPr>
      <w:r>
        <w:t>2.6 Energy thresholds and descriptive evidence states</w:t>
      </w:r>
    </w:p>
    <w:p w14:paraId="22EB6C78" w14:textId="77777777">
      <w:r>
        <w:rPr>
          <w:rFonts w:ascii="Arial" w:hAnsi="Arial" w:eastAsia="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[41]. The released software uses 1.0 kcal/mol as a screening-oriented default. We use 2.5 kcal/mol as the frozen benchmark reference and tSAP as the most conservative setting evaluated. None is universally optimal.</w:t>
      </w:r>
    </w:p>
    <w:p w14:paraId="3CAD07EB" w14:textId="77777777">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w14:paraId="5515916B" w14:textId="77777777">
      <w:r>
        <w:t>We also combined energy calls and tier into four descriptive states - both positive, energy only, context only, or neither - to summarize evidence patterns without redefining the physical mechanism. Definitions and analyses are in S5 Text; these states are not a validated classifier.</w:t>
      </w:r>
    </w:p>
    <w:p w14:paraId="3778A7EA" w14:textId="77777777">
      <w:pPr>
        <w:pStyle w:val="Heading2"/>
      </w:pPr>
      <w:r>
        <w:t>2.7 Benchmark outcomes and statistical analysis</w:t>
      </w:r>
    </w:p>
    <w:p w14:paraId="2ACE8105" w14:textId="77777777">
      <w:r>
        <w:rPr>
          <w:rFonts w:ascii="Arial" w:hAnsi="Arial" w:eastAsia="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w14:paraId="4F385B75" w14:textId="77777777">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14:paraId="081962EA" w14:textId="77777777">
        <w:trPr>
          <w:cantSplit/>
          <w:tblHeader/>
          <w:jc w:val="center"/>
        </w:trPr>
        <w:tc>
          <w:tcPr>
            <w:tcW w:w="6192" w:type="dxa"/>
            <w:shd w:val="clear" w:color="auto" w:fill="17324D"/>
            <w:tcMar>
              <w:top w:w="60" w:type="dxa"/>
              <w:left w:w="70" w:type="dxa"/>
              <w:bottom w:w="60" w:type="dxa"/>
              <w:right w:w="70" w:type="dxa"/>
            </w:tcMar>
            <w:vAlign w:val="center"/>
          </w:tcPr>
          <w:p w14:paraId="40196BA6" w14:textId="77777777">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w14:paraId="2A439879" w14:textId="77777777">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w14:paraId="7E3D1346" w14:textId="77777777">
            <w:pPr>
              <w:spacing w:after="0" w:line="240" w:lineRule="auto"/>
            </w:pPr>
            <w:r>
              <w:rPr>
                <w:b/>
                <w:color w:val="FFFFFF"/>
                <w:sz w:val="15"/>
              </w:rPr>
              <w:t>Score</w:t>
            </w:r>
          </w:p>
        </w:tc>
      </w:tr>
      <w:tr w14:paraId="71594B77" w14:textId="77777777">
        <w:trPr>
          <w:cantSplit/>
          <w:jc w:val="center"/>
        </w:trPr>
        <w:tc>
          <w:tcPr>
            <w:tcW w:w="6192" w:type="dxa"/>
            <w:tcMar>
              <w:top w:w="60" w:type="dxa"/>
              <w:left w:w="70" w:type="dxa"/>
              <w:bottom w:w="60" w:type="dxa"/>
              <w:right w:w="70" w:type="dxa"/>
            </w:tcMar>
            <w:vAlign w:val="center"/>
          </w:tcPr>
          <w:p w14:paraId="50F44F7F" w14:textId="77777777">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w14:paraId="479AA695" w14:textId="77777777">
            <w:r>
              <w:rPr>
                <w:sz w:val="15"/>
              </w:rPr>
              <w:t>Not applicable</w:t>
            </w:r>
          </w:p>
        </w:tc>
        <w:tc>
          <w:tcPr>
            <w:tcW w:w="936" w:type="dxa"/>
            <w:tcMar>
              <w:top w:w="60" w:type="dxa"/>
              <w:left w:w="70" w:type="dxa"/>
              <w:bottom w:w="60" w:type="dxa"/>
              <w:right w:w="70" w:type="dxa"/>
            </w:tcMar>
            <w:vAlign w:val="center"/>
          </w:tcPr>
          <w:p w14:paraId="12F58E1B" w14:textId="77777777">
            <w:r>
              <w:rPr>
                <w:sz w:val="15"/>
              </w:rPr>
              <w:t>Excluded</w:t>
            </w:r>
          </w:p>
        </w:tc>
      </w:tr>
      <w:tr w14:paraId="4B2B82D9" w14:textId="77777777">
        <w:trPr>
          <w:cantSplit/>
          <w:jc w:val="center"/>
        </w:trPr>
        <w:tc>
          <w:tcPr>
            <w:tcW w:w="6192" w:type="dxa"/>
            <w:shd w:val="clear" w:color="auto" w:fill="F7F9FB"/>
            <w:tcMar>
              <w:top w:w="60" w:type="dxa"/>
              <w:left w:w="70" w:type="dxa"/>
              <w:bottom w:w="60" w:type="dxa"/>
              <w:right w:w="70" w:type="dxa"/>
            </w:tcMar>
            <w:vAlign w:val="center"/>
          </w:tcPr>
          <w:p w14:paraId="09B11423" w14:textId="77777777">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w14:paraId="695E3896" w14:textId="77777777">
            <w:r>
              <w:rPr>
                <w:sz w:val="15"/>
              </w:rPr>
              <w:t>Consistent</w:t>
            </w:r>
          </w:p>
        </w:tc>
        <w:tc>
          <w:tcPr>
            <w:tcW w:w="936" w:type="dxa"/>
            <w:shd w:val="clear" w:color="auto" w:fill="F7F9FB"/>
            <w:tcMar>
              <w:top w:w="60" w:type="dxa"/>
              <w:left w:w="70" w:type="dxa"/>
              <w:bottom w:w="60" w:type="dxa"/>
              <w:right w:w="70" w:type="dxa"/>
            </w:tcMar>
            <w:vAlign w:val="center"/>
          </w:tcPr>
          <w:p w14:paraId="5EADC355" w14:textId="77777777">
            <w:r>
              <w:rPr>
                <w:sz w:val="15"/>
              </w:rPr>
              <w:t>1.0</w:t>
            </w:r>
          </w:p>
        </w:tc>
      </w:tr>
      <w:tr w14:paraId="181B27FA" w14:textId="77777777">
        <w:trPr>
          <w:cantSplit/>
          <w:jc w:val="center"/>
        </w:trPr>
        <w:tc>
          <w:tcPr>
            <w:tcW w:w="6192" w:type="dxa"/>
            <w:tcMar>
              <w:top w:w="60" w:type="dxa"/>
              <w:left w:w="70" w:type="dxa"/>
              <w:bottom w:w="60" w:type="dxa"/>
              <w:right w:w="70" w:type="dxa"/>
            </w:tcMar>
            <w:vAlign w:val="center"/>
          </w:tcPr>
          <w:p w14:paraId="5F47990B" w14:textId="77777777">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w14:paraId="58C72F82" w14:textId="77777777">
            <w:r>
              <w:rPr>
                <w:sz w:val="15"/>
              </w:rPr>
              <w:t>Consistent</w:t>
            </w:r>
          </w:p>
        </w:tc>
        <w:tc>
          <w:tcPr>
            <w:tcW w:w="936" w:type="dxa"/>
            <w:tcMar>
              <w:top w:w="60" w:type="dxa"/>
              <w:left w:w="70" w:type="dxa"/>
              <w:bottom w:w="60" w:type="dxa"/>
              <w:right w:w="70" w:type="dxa"/>
            </w:tcMar>
            <w:vAlign w:val="center"/>
          </w:tcPr>
          <w:p w14:paraId="6C76795F" w14:textId="77777777">
            <w:r>
              <w:rPr>
                <w:sz w:val="15"/>
              </w:rPr>
              <w:t>1.0</w:t>
            </w:r>
          </w:p>
        </w:tc>
      </w:tr>
      <w:tr w14:paraId="1F877857" w14:textId="77777777">
        <w:trPr>
          <w:cantSplit/>
          <w:jc w:val="center"/>
        </w:trPr>
        <w:tc>
          <w:tcPr>
            <w:tcW w:w="6192" w:type="dxa"/>
            <w:shd w:val="clear" w:color="auto" w:fill="F7F9FB"/>
            <w:tcMar>
              <w:top w:w="60" w:type="dxa"/>
              <w:left w:w="70" w:type="dxa"/>
              <w:bottom w:w="60" w:type="dxa"/>
              <w:right w:w="70" w:type="dxa"/>
            </w:tcMar>
            <w:vAlign w:val="center"/>
          </w:tcPr>
          <w:p w14:paraId="64D95C0A" w14:textId="77777777">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w14:paraId="01ACCAA5" w14:textId="77777777">
            <w:r>
              <w:rPr>
                <w:sz w:val="15"/>
              </w:rPr>
              <w:t>Partial</w:t>
            </w:r>
          </w:p>
        </w:tc>
        <w:tc>
          <w:tcPr>
            <w:tcW w:w="936" w:type="dxa"/>
            <w:shd w:val="clear" w:color="auto" w:fill="F7F9FB"/>
            <w:tcMar>
              <w:top w:w="60" w:type="dxa"/>
              <w:left w:w="70" w:type="dxa"/>
              <w:bottom w:w="60" w:type="dxa"/>
              <w:right w:w="70" w:type="dxa"/>
            </w:tcMar>
            <w:vAlign w:val="center"/>
          </w:tcPr>
          <w:p w14:paraId="5CE6DBB4" w14:textId="77777777">
            <w:r>
              <w:rPr>
                <w:sz w:val="15"/>
              </w:rPr>
              <w:t>0.5</w:t>
            </w:r>
          </w:p>
        </w:tc>
      </w:tr>
      <w:tr w14:paraId="5B1D99F8" w14:textId="77777777">
        <w:trPr>
          <w:cantSplit/>
          <w:jc w:val="center"/>
        </w:trPr>
        <w:tc>
          <w:tcPr>
            <w:tcW w:w="6192" w:type="dxa"/>
            <w:tcMar>
              <w:top w:w="60" w:type="dxa"/>
              <w:left w:w="70" w:type="dxa"/>
              <w:bottom w:w="60" w:type="dxa"/>
              <w:right w:w="70" w:type="dxa"/>
            </w:tcMar>
            <w:vAlign w:val="center"/>
          </w:tcPr>
          <w:p w14:paraId="2B2053F5" w14:textId="77777777">
            <w:r>
              <w:rPr>
                <w:sz w:val="15"/>
              </w:rPr>
              <w:lastRenderedPageBreak/>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w14:paraId="1241BA3E" w14:textId="77777777">
            <w:r>
              <w:rPr>
                <w:sz w:val="15"/>
              </w:rPr>
              <w:t>Partial</w:t>
            </w:r>
          </w:p>
        </w:tc>
        <w:tc>
          <w:tcPr>
            <w:tcW w:w="936" w:type="dxa"/>
            <w:tcMar>
              <w:top w:w="60" w:type="dxa"/>
              <w:left w:w="70" w:type="dxa"/>
              <w:bottom w:w="60" w:type="dxa"/>
              <w:right w:w="70" w:type="dxa"/>
            </w:tcMar>
            <w:vAlign w:val="center"/>
          </w:tcPr>
          <w:p w14:paraId="7E92A700" w14:textId="77777777">
            <w:r>
              <w:rPr>
                <w:sz w:val="15"/>
              </w:rPr>
              <w:t>0.5</w:t>
            </w:r>
          </w:p>
        </w:tc>
      </w:tr>
      <w:tr w14:paraId="62B9D18F" w14:textId="77777777">
        <w:trPr>
          <w:cantSplit/>
          <w:jc w:val="center"/>
        </w:trPr>
        <w:tc>
          <w:tcPr>
            <w:tcW w:w="6192" w:type="dxa"/>
            <w:shd w:val="clear" w:color="auto" w:fill="F7F9FB"/>
            <w:tcMar>
              <w:top w:w="60" w:type="dxa"/>
              <w:left w:w="70" w:type="dxa"/>
              <w:bottom w:w="60" w:type="dxa"/>
              <w:right w:w="70" w:type="dxa"/>
            </w:tcMar>
            <w:vAlign w:val="center"/>
          </w:tcPr>
          <w:p w14:paraId="19A89963" w14:textId="77777777">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w14:paraId="741119B8" w14:textId="77777777">
            <w:r>
              <w:rPr>
                <w:sz w:val="15"/>
              </w:rPr>
              <w:t>Inconsistent</w:t>
            </w:r>
          </w:p>
        </w:tc>
        <w:tc>
          <w:tcPr>
            <w:tcW w:w="936" w:type="dxa"/>
            <w:shd w:val="clear" w:color="auto" w:fill="F7F9FB"/>
            <w:tcMar>
              <w:top w:w="60" w:type="dxa"/>
              <w:left w:w="70" w:type="dxa"/>
              <w:bottom w:w="60" w:type="dxa"/>
              <w:right w:w="70" w:type="dxa"/>
            </w:tcMar>
            <w:vAlign w:val="center"/>
          </w:tcPr>
          <w:p w14:paraId="4F148EDF" w14:textId="77777777">
            <w:r>
              <w:rPr>
                <w:sz w:val="15"/>
              </w:rPr>
              <w:t>0.0</w:t>
            </w:r>
          </w:p>
        </w:tc>
      </w:tr>
      <w:tr w14:paraId="03755EEC" w14:textId="77777777">
        <w:trPr>
          <w:cantSplit/>
          <w:jc w:val="center"/>
        </w:trPr>
        <w:tc>
          <w:tcPr>
            <w:tcW w:w="6192" w:type="dxa"/>
            <w:tcMar>
              <w:top w:w="60" w:type="dxa"/>
              <w:left w:w="70" w:type="dxa"/>
              <w:bottom w:w="60" w:type="dxa"/>
              <w:right w:w="70" w:type="dxa"/>
            </w:tcMar>
            <w:vAlign w:val="center"/>
          </w:tcPr>
          <w:p w14:paraId="0DA93EE8" w14:textId="77777777">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w14:paraId="30DF0999" w14:textId="77777777">
            <w:r>
              <w:rPr>
                <w:sz w:val="15"/>
              </w:rPr>
              <w:t>Inconsistent</w:t>
            </w:r>
          </w:p>
        </w:tc>
        <w:tc>
          <w:tcPr>
            <w:tcW w:w="936" w:type="dxa"/>
            <w:tcMar>
              <w:top w:w="60" w:type="dxa"/>
              <w:left w:w="70" w:type="dxa"/>
              <w:bottom w:w="60" w:type="dxa"/>
              <w:right w:w="70" w:type="dxa"/>
            </w:tcMar>
            <w:vAlign w:val="center"/>
          </w:tcPr>
          <w:p w14:paraId="777FF8B6" w14:textId="77777777">
            <w:r>
              <w:rPr>
                <w:sz w:val="15"/>
              </w:rPr>
              <w:t>0.0</w:t>
            </w:r>
          </w:p>
        </w:tc>
      </w:tr>
    </w:tbl>
    <w:p w14:paraId="48C74080" w14:textId="77777777">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S7 Text.</w:t>
      </w:r>
    </w:p>
    <w:p w14:paraId="1F025441" w14:textId="77777777">
      <w:r>
        <w:rPr>
          <w:rFonts w:ascii="Arial" w:hAnsi="Arial" w:eastAsia="Arial"/>
        </w:rPr>
        <w:t>For structural prioritization, the positive class was the 20 variants with a modeled structural mechanism and the negative class was the 27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20 structural mechanisms would be encountered if a researcher could test only the first 10, 20, or 25 variants. Formula comparisons, score bands, and component analyses were treated as internal sensitivity analyses because the same resource informed score development.</w:t>
      </w:r>
    </w:p>
    <w:p w14:paraId="37670EB7" w14:textId="77777777">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w14:paraId="07AC58CD" w14:textId="77777777">
      <w:pPr>
        <w:pStyle w:val="Heading2"/>
      </w:pPr>
      <w:r>
        <w:t>2.8 Software, code, and data availability</w:t>
      </w:r>
    </w:p>
    <w:p w14:paraId="79D76D89" w14:textId="77777777">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congenital heart disease (CHD), generic, and live or external runs receive the same versioned fields. FoldX and large structural-input collections are not redistributed.</w:t>
      </w:r>
    </w:p>
    <w:p w14:paraId="58922265" w14:textId="77777777">
      <w:pPr>
        <w:pStyle w:val="Heading1"/>
        <w:spacing w:after="50" w:line="240" w:lineRule="auto"/>
      </w:pPr>
      <w:r>
        <w:t>3. Results</w:t>
      </w:r>
    </w:p>
    <w:p w14:paraId="793E5FD2" w14:textId="77777777">
      <w:pPr>
        <w:pStyle w:val="Heading2"/>
      </w:pPr>
      <w:r>
        <w:t>3.1 COMAVI compares isolated and assembled contexts to propose experiments</w:t>
      </w:r>
    </w:p>
    <w:p w14:paraId="68EEE10A" w14:textId="77777777">
      <w:r>
        <w:rPr>
          <w:rFonts w:ascii="Arial" w:hAnsi="Arial" w:eastAsia="Arial"/>
        </w:rPr>
        <w:t>COMAVI is designed to compare the same variant across structural contexts. It evaluates the isolated subunit and, when an assembly is available, the assembled complex, then separates predicted changes in subunit stability from changes in partner interaction. The priority score ranks candidates, whereas the mechanism profile retains the signed evidence needed to choose an experiment. Because the three energy changes are evaluated separately, one variant can support more than one structural hypothesis.</w:t>
      </w:r>
    </w:p>
    <w:p w14:paraId="2F3C3040" w14:textId="77777777">
      <w:r>
        <w:t>CFH R78G illustrates a binding-specific result: its predicted isolated-subunit change was modest (0.93 kcal/mol), whereas predicted binding disruption was 6.12 kcal/mol, consistent with an increase in the measured dissociation constant from approximately 12 μM to more than 35 μM [42]. VWF R1334Q shows the value of evaluating the assembled complex. Its isolated-subunit prediction was nearly neutral (0.01 kcal/mol), but assembled-complex stability and binding changed by 4.73 and 4.11 kcal/mol [43]. The profile therefore proposes a combined assembly-and-binding lesion rather than an isolated-fold lesion.</w:t>
      </w:r>
    </w:p>
    <w:p w14:paraId="3313C524" w14:textId="77777777">
      <w: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S3 Table is what separates the two situations, and it is applied before scoring rather than after.</w:t>
      </w:r>
    </w:p>
    <w:p w14:paraId="187ED145" w14:textId="77777777">
      <w:pPr>
        <w:pStyle w:val="Heading2"/>
      </w:pPr>
      <w:r>
        <w:lastRenderedPageBreak/>
        <w:t>3.2 COMAVI recovers expected mechanism patterns across diverse systems</w:t>
      </w:r>
    </w:p>
    <w:p w14:paraId="542EF9B7" w14:textId="77777777">
      <w:r>
        <w:rPr>
          <w:rFonts w:ascii="Arial" w:hAnsi="Arial" w:eastAsia="Arial"/>
        </w:rPr>
        <w:t>This and every subsequent analysis use the same prespecified cohort of 61 variants across 14 protein systems described in Section 2.2 and listed in Table 1 and S1 Table; no variant was added or removed after scoring began. At the 2.5 kcal/mol reference threshold, COMAVI recovered the expected combination of structural effects with a mechanism-pattern score of 39.5/57 = 0.693. This partial-credit result represents 39.5 total points across 57 graded variants, not 39.5 exact matches. Because the rubric awards partial credit and because half the graded cohort carries a curated expectation of no structural lesion, the aggregate lies between two quantities that are more directly interpretable. Among the 28 variants with a committed structural mechanism, at least one of the three axes exceeded the reference threshold for 21 (0.750), and the axis to which the mechanism is attributed in the literature exceeded it for 14 (0.500); among the 29 variants curated to lack a lesion on the modeled axes, no axis exceeded it for 24 (0.828). COMAVI therefore detects structural disruption more reliably than it localizes the disrupted axis, and the gap between those two rates is the method's principal current limitation. S3 Text reports the decomposition by expected mechanism class. The interaction and BRCT subsets had similar scores, so neither cohort determined the pooled result. Because the data span 14 clustered systems, 0.693 is benchmark-specific pattern agreement rather than universal accuracy.</w:t>
      </w:r>
    </w:p>
    <w:p w14:paraId="292EBD6B" w14:textId="77777777">
      <w:r>
        <w:rPr>
          <w:rFonts w:ascii="Arial" w:hAnsi="Arial" w:eastAsia="Arial"/>
        </w:rPr>
        <w:t>At the output level, 56 of 77 applicable energetic calculations had the expected direction: 19/25 for isolated-subunit stability, 17/22 for stability calculated in the assembled complex, and 20/30 for binding. Fig 2 shows these axis-specific counts and the whole-variant partial-credit score. The per-axis rates identify which calculations contributed, but they do not replace the whole-variant outcome.</w:t>
      </w:r>
    </w:p>
    <w:p w14:paraId="012586D8" w14:textId="77777777">
      <w:pPr>
        <w:keepNext/>
        <w:spacing w:before="80" w:after="20"/>
        <w:jc w:val="center"/>
      </w:pPr>
      <w:r>
        <w:rPr>
          <w:noProof/>
        </w:rPr>
        <w:drawing>
          <wp:inline distT="0" distB="0" distL="0" distR="0" wp14:anchorId="0CB85C37" wp14:editId="17B65345">
            <wp:extent cx="6080760" cy="2279265"/>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6080760" cy="2279265"/>
                    </a:xfrm>
                    <a:prstGeom prst="rect">
                      <a:avLst/>
                    </a:prstGeom>
                  </pic:spPr>
                </pic:pic>
              </a:graphicData>
            </a:graphic>
          </wp:inline>
        </w:drawing>
      </w:r>
    </w:p>
    <w:p w14:paraId="17B2BF33" w14:textId="77777777">
      <w:pPr>
        <w:pStyle w:val="Caption"/>
        <w:keepNext/>
        <w:keepLines/>
        <w:spacing w:before="60" w:after="160"/>
      </w:pPr>
      <w:r>
        <w:rPr>
          <w:rFonts w:ascii="Arial" w:hAnsi="Arial" w:eastAsia="Arial"/>
        </w:rPr>
        <w:t>Fig 2. COMAVI recovers literature-defined structural mechanism patterns in the current benchmark. (A) Direction agreement is shown separately for isolated-subunit stability (19/25), stability calculated in the assembled complex (17/22), binding (20/30), all energetic outputs (56/77), and the structural-context tier (33/47). (B) Whole-variant mechanism-pattern scores are shown for all 57 graded variants and for the interaction and BRCT subsets. A score of 1 is fully consistent, 0.5 is partly correct, and 0 is inconsistent; the primary mean is 39.5/57 = 0.693.</w:t>
      </w:r>
    </w:p>
    <w:p w14:paraId="3F5DB9E1" w14:textId="77777777">
      <w:r>
        <w:rPr>
          <w:rFonts w:ascii="Arial" w:hAnsi="Arial" w:eastAsia="Arial"/>
        </w:rPr>
        <w:t>Evidence-restricted analyses did not change the qualitative conclusion. Among variants for which every committed axis had E1-E3 support, tier sensitivity was 0.875 and specificity 0.600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(S2 Text).</w:t>
      </w:r>
    </w:p>
    <w:p w14:paraId="09B0D47B" w14:textId="77777777">
      <w:r>
        <w:t>No single system carried the result. Resampling entire protein systems gave a 95% interval of 0.604-0.790 for the mechanism-pattern score, and leave-one-system-out values ranged from 0.676 to 0.713. Permutation, replicate-noise, and continuity audits are reported in S7 Text.</w:t>
      </w:r>
    </w:p>
    <w:p w14:paraId="5FD4257C" w14:textId="77777777">
      <w:pPr>
        <w:pStyle w:val="Heading2"/>
      </w:pPr>
      <w:r>
        <w:t>3.3 The energy threshold controls recovery and false structural calls</w:t>
      </w:r>
    </w:p>
    <w:p w14:paraId="68AEE5BA" w14:textId="77777777">
      <w:r>
        <w:rPr>
          <w:rFonts w:ascii="Arial" w:hAnsi="Arial" w:eastAsia="Arial"/>
        </w:rPr>
        <w:t>The energy threshold determines the balance between missed mechanisms and false structural calls. Across the prespecified menu the two error types move in opposite directions and by unequal amounts. Of the 28 variants with a committed structural mechanism, the number missed rises from 10 at 1.0 kcal/mol to 12 at the 2.5 kcal/mol reference and 16 at the substitution-adjusted threshold; of the 29 variants curated to lack a modeled lesion, the number given a false structural call falls from 15 to 5 and then 4 across the same range. Raising the threshold from 1.0 to 2.5 therefore removes ten false calls at a cost of two missed mechanisms, while the final step to the substitution-adjusted threshold removes one more false call at a cost of four. Fig 3 and Table 3 show the full tradeoff.</w:t>
      </w:r>
    </w:p>
    <w:p w14:paraId="18B00F0D" w14:textId="77777777">
      <w:pPr>
        <w:keepNext/>
        <w:spacing w:before="80" w:after="20"/>
        <w:jc w:val="center"/>
      </w:pPr>
      <w:r>
        <w:rPr>
          <w:noProof/>
        </w:rPr>
        <w:lastRenderedPageBreak/>
        <w:drawing>
          <wp:inline distT="0" distB="0" distL="0" distR="0" wp14:anchorId="48A534C4" wp14:editId="04E60D9C">
            <wp:extent cx="6080760" cy="2448422"/>
            <wp:effectExtent l="0" t="0" r="0" b="0"/>
            <wp:docPr id="17" name="Picture 17" descr="Threshold tradeoff showing mechanism recovery, correct rejection, overall score, and recovery of measured destabilizing effects." title="Threshold tradeoff showing mechanism recovery, correct rejection, overall score, and recovery of measured destabiliz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lean.png"/>
                    <pic:cNvPicPr/>
                  </pic:nvPicPr>
                  <pic:blipFill>
                    <a:blip r:embed="rId14"/>
                    <a:stretch>
                      <a:fillRect/>
                    </a:stretch>
                  </pic:blipFill>
                  <pic:spPr>
                    <a:xfrm>
                      <a:off x="0" y="0"/>
                      <a:ext cx="6080760" cy="2448422"/>
                    </a:xfrm>
                    <a:prstGeom prst="rect">
                      <a:avLst/>
                    </a:prstGeom>
                  </pic:spPr>
                </pic:pic>
              </a:graphicData>
            </a:graphic>
          </wp:inline>
        </w:drawing>
      </w:r>
      <w:r>
        <w:rPr>
          <w:rStyle w:val="CommentReference"/>
          <w:sz w:val="21"/>
          <w:szCs w:val="22"/>
        </w:rPr>
      </w:r>
    </w:p>
    <w:p w14:paraId="353E3094" w14:textId="77777777">
      <w:pPr>
        <w:pStyle w:val="Caption"/>
        <w:keepNext/>
        <w:keepLines/>
        <w:spacing w:before="60" w:after="160"/>
      </w:pPr>
      <w:r>
        <w:rPr>
          <w:rFonts w:ascii="Arial" w:hAnsi="Arial" w:eastAsia="Arial"/>
        </w:rPr>
        <w:t>Fig 3. The energy threshold controls the tradeoff between mechanism recovery and false structural calls. (A) Recovery among 28 variants with known structural mechanisms decreases as the threshold rises, whereas correct rejection among 29 no-lesion variants increases. The shaded regions identify screening, intermediate, reference, and conservative use; no threshold is universally optimal. (B) Increasing stringency also reduces recovery among 44 experimentally destabilizing comparisons. The 2.5 kcal/mol setting is the frozen reference, and tSAP (2.9/2.9/3.5 kcal/mol) is the most conservative setting evaluated.</w:t>
      </w:r>
    </w:p>
    <w:p w14:paraId="2DDA62DA" w14:textId="77777777">
      <w:pPr>
        <w:pStyle w:val="Caption"/>
        <w:keepNext/>
      </w:pPr>
      <w:r>
        <w:rPr>
          <w:rFonts w:ascii="Arial" w:hAnsi="Arial" w:eastAsia="Arial"/>
        </w:rPr>
        <w:t>Table 3.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14:paraId="2169BB9A" w14:textId="77777777">
        <w:trPr>
          <w:cantSplit/>
          <w:tblHeader/>
          <w:jc w:val="center"/>
        </w:trPr>
        <w:tc>
          <w:tcPr>
            <w:tcW w:w="1699" w:type="dxa"/>
            <w:shd w:val="clear" w:color="auto" w:fill="17324D"/>
            <w:tcMar>
              <w:top w:w="60" w:type="dxa"/>
              <w:left w:w="70" w:type="dxa"/>
              <w:bottom w:w="60" w:type="dxa"/>
              <w:right w:w="70" w:type="dxa"/>
            </w:tcMar>
            <w:vAlign w:val="center"/>
          </w:tcPr>
          <w:p w14:paraId="2E0F0ACE" w14:textId="77777777">
            <w:r>
              <w:rPr>
                <w:sz w:val="15"/>
              </w:rPr>
              <w:t>Energy threshold</w:t>
            </w:r>
          </w:p>
        </w:tc>
        <w:tc>
          <w:tcPr>
            <w:tcW w:w="1325" w:type="dxa"/>
            <w:shd w:val="clear" w:color="auto" w:fill="17324D"/>
            <w:tcMar>
              <w:top w:w="60" w:type="dxa"/>
              <w:left w:w="70" w:type="dxa"/>
              <w:bottom w:w="60" w:type="dxa"/>
              <w:right w:w="70" w:type="dxa"/>
            </w:tcMar>
            <w:vAlign w:val="center"/>
          </w:tcPr>
          <w:p w14:paraId="121E50DD" w14:textId="77777777">
            <w:pPr>
              <w:spacing w:after="0" w:line="240" w:lineRule="auto"/>
            </w:pPr>
            <w:r>
              <w:rPr>
                <w:b/>
                <w:color w:val="FFFFFF"/>
                <w:sz w:val="15"/>
              </w:rPr>
              <w:t>Mechanism recovery</w:t>
            </w:r>
          </w:p>
        </w:tc>
        <w:tc>
          <w:tcPr>
            <w:tcW w:w="1325" w:type="dxa"/>
            <w:shd w:val="clear" w:color="auto" w:fill="17324D"/>
            <w:tcMar>
              <w:top w:w="60" w:type="dxa"/>
              <w:left w:w="70" w:type="dxa"/>
              <w:bottom w:w="60" w:type="dxa"/>
              <w:right w:w="70" w:type="dxa"/>
            </w:tcMar>
            <w:vAlign w:val="center"/>
          </w:tcPr>
          <w:p w14:paraId="3010E176" w14:textId="77777777">
            <w:pPr>
              <w:spacing w:after="0" w:line="240" w:lineRule="auto"/>
            </w:pPr>
            <w:r>
              <w:rPr>
                <w:b/>
                <w:color w:val="FFFFFF"/>
                <w:sz w:val="15"/>
              </w:rPr>
              <w:t>Correct rejection</w:t>
            </w:r>
          </w:p>
        </w:tc>
        <w:tc>
          <w:tcPr>
            <w:tcW w:w="1512" w:type="dxa"/>
            <w:shd w:val="clear" w:color="auto" w:fill="17324D"/>
            <w:tcMar>
              <w:top w:w="60" w:type="dxa"/>
              <w:left w:w="70" w:type="dxa"/>
              <w:bottom w:w="60" w:type="dxa"/>
              <w:right w:w="70" w:type="dxa"/>
            </w:tcMar>
            <w:vAlign w:val="center"/>
          </w:tcPr>
          <w:p w14:paraId="12A64808" w14:textId="77777777">
            <w:pPr>
              <w:spacing w:after="0" w:line="240" w:lineRule="auto"/>
            </w:pPr>
            <w:r>
              <w:rPr>
                <w:b/>
                <w:color w:val="FFFFFF"/>
                <w:sz w:val="15"/>
              </w:rPr>
              <w:t>Measured effects recovered</w:t>
            </w:r>
          </w:p>
        </w:tc>
        <w:tc>
          <w:tcPr>
            <w:tcW w:w="3528" w:type="dxa"/>
            <w:shd w:val="clear" w:color="auto" w:fill="17324D"/>
            <w:tcMar>
              <w:top w:w="60" w:type="dxa"/>
              <w:left w:w="70" w:type="dxa"/>
              <w:bottom w:w="60" w:type="dxa"/>
              <w:right w:w="70" w:type="dxa"/>
            </w:tcMar>
            <w:vAlign w:val="center"/>
          </w:tcPr>
          <w:p w14:paraId="10261E6B" w14:textId="77777777">
            <w:pPr>
              <w:spacing w:after="0" w:line="240" w:lineRule="auto"/>
            </w:pPr>
            <w:r>
              <w:rPr>
                <w:b/>
                <w:color w:val="FFFFFF"/>
                <w:sz w:val="15"/>
              </w:rPr>
              <w:t>Recommended interpretation</w:t>
            </w:r>
          </w:p>
        </w:tc>
      </w:tr>
      <w:tr w14:paraId="1432C779" w14:textId="77777777">
        <w:trPr>
          <w:cantSplit/>
          <w:jc w:val="center"/>
        </w:trPr>
        <w:tc>
          <w:tcPr>
            <w:tcW w:w="1699" w:type="dxa"/>
            <w:tcMar>
              <w:top w:w="60" w:type="dxa"/>
              <w:left w:w="70" w:type="dxa"/>
              <w:bottom w:w="60" w:type="dxa"/>
              <w:right w:w="70" w:type="dxa"/>
            </w:tcMar>
            <w:vAlign w:val="center"/>
          </w:tcPr>
          <w:p w14:paraId="704EB66B" w14:textId="77777777">
            <w:pPr>
              <w:spacing w:after="0" w:line="240" w:lineRule="auto"/>
            </w:pPr>
            <w:r>
              <w:rPr>
                <w:sz w:val="15"/>
              </w:rPr>
              <w:t>1.0 kcal/mol</w:t>
            </w:r>
          </w:p>
        </w:tc>
        <w:tc>
          <w:tcPr>
            <w:tcW w:w="1325" w:type="dxa"/>
            <w:tcMar>
              <w:top w:w="60" w:type="dxa"/>
              <w:left w:w="70" w:type="dxa"/>
              <w:bottom w:w="60" w:type="dxa"/>
              <w:right w:w="70" w:type="dxa"/>
            </w:tcMar>
            <w:vAlign w:val="center"/>
          </w:tcPr>
          <w:p w14:paraId="16B91EE9" w14:textId="77777777">
            <w:pPr>
              <w:spacing w:after="0" w:line="240" w:lineRule="auto"/>
            </w:pPr>
            <w:r>
              <w:rPr>
                <w:sz w:val="15"/>
              </w:rPr>
              <w:t>0.714</w:t>
            </w:r>
          </w:p>
        </w:tc>
        <w:tc>
          <w:tcPr>
            <w:tcW w:w="1325" w:type="dxa"/>
            <w:tcMar>
              <w:top w:w="60" w:type="dxa"/>
              <w:left w:w="70" w:type="dxa"/>
              <w:bottom w:w="60" w:type="dxa"/>
              <w:right w:w="70" w:type="dxa"/>
            </w:tcMar>
            <w:vAlign w:val="center"/>
          </w:tcPr>
          <w:p w14:paraId="56E383D2" w14:textId="77777777">
            <w:pPr>
              <w:spacing w:after="0" w:line="240" w:lineRule="auto"/>
            </w:pPr>
            <w:r>
              <w:rPr>
                <w:sz w:val="15"/>
              </w:rPr>
              <w:t>0.448</w:t>
            </w:r>
          </w:p>
        </w:tc>
        <w:tc>
          <w:tcPr>
            <w:tcW w:w="1512" w:type="dxa"/>
            <w:tcMar>
              <w:top w:w="60" w:type="dxa"/>
              <w:left w:w="70" w:type="dxa"/>
              <w:bottom w:w="60" w:type="dxa"/>
              <w:right w:w="70" w:type="dxa"/>
            </w:tcMar>
            <w:vAlign w:val="center"/>
          </w:tcPr>
          <w:p w14:paraId="7144EB73" w14:textId="77777777">
            <w:pPr>
              <w:spacing w:after="0" w:line="240" w:lineRule="auto"/>
            </w:pPr>
            <w:r>
              <w:rPr>
                <w:sz w:val="15"/>
              </w:rPr>
              <w:t>35/44 = 0.795</w:t>
            </w:r>
          </w:p>
        </w:tc>
        <w:tc>
          <w:tcPr>
            <w:tcW w:w="3528" w:type="dxa"/>
            <w:tcMar>
              <w:top w:w="60" w:type="dxa"/>
              <w:left w:w="70" w:type="dxa"/>
              <w:bottom w:w="60" w:type="dxa"/>
              <w:right w:w="70" w:type="dxa"/>
            </w:tcMar>
            <w:vAlign w:val="center"/>
          </w:tcPr>
          <w:p w14:paraId="7C0984A6" w14:textId="77777777">
            <w:r>
              <w:rPr>
                <w:sz w:val="15"/>
              </w:rPr>
              <w:t>Screening default; use when missing a mechanism is more costly than extra follow-up.</w:t>
            </w:r>
          </w:p>
        </w:tc>
      </w:tr>
      <w:tr w14:paraId="114910FA" w14:textId="77777777">
        <w:trPr>
          <w:cantSplit/>
          <w:jc w:val="center"/>
        </w:trPr>
        <w:tc>
          <w:tcPr>
            <w:tcW w:w="1699" w:type="dxa"/>
            <w:shd w:val="clear" w:color="auto" w:fill="F7F9FB"/>
            <w:tcMar>
              <w:top w:w="60" w:type="dxa"/>
              <w:left w:w="70" w:type="dxa"/>
              <w:bottom w:w="60" w:type="dxa"/>
              <w:right w:w="70" w:type="dxa"/>
            </w:tcMar>
            <w:vAlign w:val="center"/>
          </w:tcPr>
          <w:p w14:paraId="7B1B2779" w14:textId="77777777">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w14:paraId="5BC647D7" w14:textId="77777777">
            <w:pPr>
              <w:spacing w:after="0" w:line="240" w:lineRule="auto"/>
            </w:pPr>
            <w:r>
              <w:rPr>
                <w:sz w:val="15"/>
              </w:rPr>
              <w:t>0.679</w:t>
            </w:r>
          </w:p>
        </w:tc>
        <w:tc>
          <w:tcPr>
            <w:tcW w:w="1325" w:type="dxa"/>
            <w:shd w:val="clear" w:color="auto" w:fill="F7F9FB"/>
            <w:tcMar>
              <w:top w:w="60" w:type="dxa"/>
              <w:left w:w="70" w:type="dxa"/>
              <w:bottom w:w="60" w:type="dxa"/>
              <w:right w:w="70" w:type="dxa"/>
            </w:tcMar>
            <w:vAlign w:val="center"/>
          </w:tcPr>
          <w:p w14:paraId="60BED8BF" w14:textId="77777777">
            <w:pPr>
              <w:spacing w:after="0" w:line="240" w:lineRule="auto"/>
            </w:pPr>
            <w:r>
              <w:rPr>
                <w:sz w:val="15"/>
              </w:rPr>
              <w:t>0.621</w:t>
            </w:r>
          </w:p>
        </w:tc>
        <w:tc>
          <w:tcPr>
            <w:tcW w:w="1512" w:type="dxa"/>
            <w:shd w:val="clear" w:color="auto" w:fill="F7F9FB"/>
            <w:tcMar>
              <w:top w:w="60" w:type="dxa"/>
              <w:left w:w="70" w:type="dxa"/>
              <w:bottom w:w="60" w:type="dxa"/>
              <w:right w:w="70" w:type="dxa"/>
            </w:tcMar>
            <w:vAlign w:val="center"/>
          </w:tcPr>
          <w:p w14:paraId="148E08D5" w14:textId="77777777">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w14:paraId="27F58702" w14:textId="77777777">
            <w:r>
              <w:rPr>
                <w:sz w:val="15"/>
              </w:rPr>
              <w:t>Lower-intermediate stringency.</w:t>
            </w:r>
          </w:p>
        </w:tc>
      </w:tr>
      <w:tr w14:paraId="7C512C4A" w14:textId="77777777">
        <w:trPr>
          <w:cantSplit/>
          <w:jc w:val="center"/>
        </w:trPr>
        <w:tc>
          <w:tcPr>
            <w:tcW w:w="1699" w:type="dxa"/>
            <w:tcMar>
              <w:top w:w="60" w:type="dxa"/>
              <w:left w:w="70" w:type="dxa"/>
              <w:bottom w:w="60" w:type="dxa"/>
              <w:right w:w="70" w:type="dxa"/>
            </w:tcMar>
            <w:vAlign w:val="center"/>
          </w:tcPr>
          <w:p w14:paraId="3B1CF19B" w14:textId="77777777">
            <w:pPr>
              <w:spacing w:after="0" w:line="240" w:lineRule="auto"/>
            </w:pPr>
            <w:r>
              <w:rPr>
                <w:sz w:val="15"/>
              </w:rPr>
              <w:t>2.0 kcal/mol</w:t>
            </w:r>
          </w:p>
        </w:tc>
        <w:tc>
          <w:tcPr>
            <w:tcW w:w="1325" w:type="dxa"/>
            <w:tcMar>
              <w:top w:w="60" w:type="dxa"/>
              <w:left w:w="70" w:type="dxa"/>
              <w:bottom w:w="60" w:type="dxa"/>
              <w:right w:w="70" w:type="dxa"/>
            </w:tcMar>
            <w:vAlign w:val="center"/>
          </w:tcPr>
          <w:p w14:paraId="606D9648" w14:textId="77777777">
            <w:pPr>
              <w:spacing w:after="0" w:line="240" w:lineRule="auto"/>
            </w:pPr>
            <w:r>
              <w:rPr>
                <w:sz w:val="15"/>
              </w:rPr>
              <w:t>0.607</w:t>
            </w:r>
          </w:p>
        </w:tc>
        <w:tc>
          <w:tcPr>
            <w:tcW w:w="1325" w:type="dxa"/>
            <w:tcMar>
              <w:top w:w="60" w:type="dxa"/>
              <w:left w:w="70" w:type="dxa"/>
              <w:bottom w:w="60" w:type="dxa"/>
              <w:right w:w="70" w:type="dxa"/>
            </w:tcMar>
            <w:vAlign w:val="center"/>
          </w:tcPr>
          <w:p w14:paraId="672B333A" w14:textId="77777777">
            <w:pPr>
              <w:spacing w:after="0" w:line="240" w:lineRule="auto"/>
            </w:pPr>
            <w:r>
              <w:rPr>
                <w:sz w:val="15"/>
              </w:rPr>
              <w:t>0.759</w:t>
            </w:r>
          </w:p>
        </w:tc>
        <w:tc>
          <w:tcPr>
            <w:tcW w:w="1512" w:type="dxa"/>
            <w:tcMar>
              <w:top w:w="60" w:type="dxa"/>
              <w:left w:w="70" w:type="dxa"/>
              <w:bottom w:w="60" w:type="dxa"/>
              <w:right w:w="70" w:type="dxa"/>
            </w:tcMar>
            <w:vAlign w:val="center"/>
          </w:tcPr>
          <w:p w14:paraId="7F59278F" w14:textId="77777777">
            <w:pPr>
              <w:spacing w:after="0" w:line="240" w:lineRule="auto"/>
            </w:pPr>
            <w:r>
              <w:rPr>
                <w:sz w:val="15"/>
              </w:rPr>
              <w:t>19/44 = 0.432</w:t>
            </w:r>
          </w:p>
        </w:tc>
        <w:tc>
          <w:tcPr>
            <w:tcW w:w="3528" w:type="dxa"/>
            <w:tcMar>
              <w:top w:w="60" w:type="dxa"/>
              <w:left w:w="70" w:type="dxa"/>
              <w:bottom w:w="60" w:type="dxa"/>
              <w:right w:w="70" w:type="dxa"/>
            </w:tcMar>
            <w:vAlign w:val="center"/>
          </w:tcPr>
          <w:p w14:paraId="1A4FA3F2" w14:textId="77777777">
            <w:r>
              <w:rPr>
                <w:sz w:val="15"/>
              </w:rPr>
              <w:t>Upper-intermediate stringency.</w:t>
            </w:r>
          </w:p>
        </w:tc>
      </w:tr>
      <w:tr w14:paraId="26627A6D" w14:textId="77777777">
        <w:trPr>
          <w:cantSplit/>
          <w:jc w:val="center"/>
        </w:trPr>
        <w:tc>
          <w:tcPr>
            <w:tcW w:w="1699" w:type="dxa"/>
            <w:shd w:val="clear" w:color="auto" w:fill="F7F9FB"/>
            <w:tcMar>
              <w:top w:w="60" w:type="dxa"/>
              <w:left w:w="70" w:type="dxa"/>
              <w:bottom w:w="60" w:type="dxa"/>
              <w:right w:w="70" w:type="dxa"/>
            </w:tcMar>
            <w:vAlign w:val="center"/>
          </w:tcPr>
          <w:p w14:paraId="511D079F" w14:textId="77777777">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w14:paraId="61BA3899" w14:textId="77777777">
            <w:pPr>
              <w:spacing w:after="0" w:line="240" w:lineRule="auto"/>
            </w:pPr>
            <w:r>
              <w:rPr>
                <w:sz w:val="15"/>
              </w:rPr>
              <w:t>0.554</w:t>
            </w:r>
          </w:p>
        </w:tc>
        <w:tc>
          <w:tcPr>
            <w:tcW w:w="1325" w:type="dxa"/>
            <w:shd w:val="clear" w:color="auto" w:fill="F7F9FB"/>
            <w:tcMar>
              <w:top w:w="60" w:type="dxa"/>
              <w:left w:w="70" w:type="dxa"/>
              <w:bottom w:w="60" w:type="dxa"/>
              <w:right w:w="70" w:type="dxa"/>
            </w:tcMar>
            <w:vAlign w:val="center"/>
          </w:tcPr>
          <w:p w14:paraId="401A3D9E" w14:textId="77777777">
            <w:pPr>
              <w:spacing w:after="0" w:line="240" w:lineRule="auto"/>
            </w:pPr>
            <w:r>
              <w:rPr>
                <w:sz w:val="15"/>
              </w:rPr>
              <w:t>0.828</w:t>
            </w:r>
          </w:p>
        </w:tc>
        <w:tc>
          <w:tcPr>
            <w:tcW w:w="1512" w:type="dxa"/>
            <w:shd w:val="clear" w:color="auto" w:fill="F7F9FB"/>
            <w:tcMar>
              <w:top w:w="60" w:type="dxa"/>
              <w:left w:w="70" w:type="dxa"/>
              <w:bottom w:w="60" w:type="dxa"/>
              <w:right w:w="70" w:type="dxa"/>
            </w:tcMar>
            <w:vAlign w:val="center"/>
          </w:tcPr>
          <w:p w14:paraId="49BAAFCA" w14:textId="77777777">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w14:paraId="19F6A69C" w14:textId="77777777">
            <w:r>
              <w:rPr>
                <w:sz w:val="15"/>
              </w:rPr>
              <w:t>Frozen benchmark reference; relatively stringent, but not maximally conservative.</w:t>
            </w:r>
          </w:p>
        </w:tc>
      </w:tr>
      <w:tr w14:paraId="672EB000" w14:textId="77777777">
        <w:trPr>
          <w:cantSplit/>
          <w:jc w:val="center"/>
        </w:trPr>
        <w:tc>
          <w:tcPr>
            <w:tcW w:w="1699" w:type="dxa"/>
            <w:tcMar>
              <w:top w:w="60" w:type="dxa"/>
              <w:left w:w="70" w:type="dxa"/>
              <w:bottom w:w="60" w:type="dxa"/>
              <w:right w:w="70" w:type="dxa"/>
            </w:tcMar>
            <w:vAlign w:val="center"/>
          </w:tcPr>
          <w:p w14:paraId="2AFF7394" w14:textId="77777777">
            <w:pPr>
              <w:spacing w:after="0" w:line="240" w:lineRule="auto"/>
            </w:pPr>
            <w:r>
              <w:rPr>
                <w:sz w:val="15"/>
              </w:rPr>
              <w:t>tSAP 2.9/2.9/3.5</w:t>
            </w:r>
          </w:p>
        </w:tc>
        <w:tc>
          <w:tcPr>
            <w:tcW w:w="1325" w:type="dxa"/>
            <w:tcMar>
              <w:top w:w="60" w:type="dxa"/>
              <w:left w:w="70" w:type="dxa"/>
              <w:bottom w:w="60" w:type="dxa"/>
              <w:right w:w="70" w:type="dxa"/>
            </w:tcMar>
            <w:vAlign w:val="center"/>
          </w:tcPr>
          <w:p w14:paraId="2501AF49" w14:textId="77777777">
            <w:pPr>
              <w:spacing w:after="0" w:line="240" w:lineRule="auto"/>
            </w:pPr>
            <w:r>
              <w:rPr>
                <w:sz w:val="15"/>
              </w:rPr>
              <w:t>0.500</w:t>
            </w:r>
          </w:p>
        </w:tc>
        <w:tc>
          <w:tcPr>
            <w:tcW w:w="1325" w:type="dxa"/>
            <w:tcMar>
              <w:top w:w="60" w:type="dxa"/>
              <w:left w:w="70" w:type="dxa"/>
              <w:bottom w:w="60" w:type="dxa"/>
              <w:right w:w="70" w:type="dxa"/>
            </w:tcMar>
            <w:vAlign w:val="center"/>
          </w:tcPr>
          <w:p w14:paraId="4CAE580A" w14:textId="77777777">
            <w:pPr>
              <w:spacing w:after="0" w:line="240" w:lineRule="auto"/>
            </w:pPr>
            <w:r>
              <w:rPr>
                <w:sz w:val="15"/>
              </w:rPr>
              <w:t>0.862</w:t>
            </w:r>
          </w:p>
        </w:tc>
        <w:tc>
          <w:tcPr>
            <w:tcW w:w="1512" w:type="dxa"/>
            <w:tcMar>
              <w:top w:w="60" w:type="dxa"/>
              <w:left w:w="70" w:type="dxa"/>
              <w:bottom w:w="60" w:type="dxa"/>
              <w:right w:w="70" w:type="dxa"/>
            </w:tcMar>
            <w:vAlign w:val="center"/>
          </w:tcPr>
          <w:p w14:paraId="57744D46" w14:textId="77777777">
            <w:pPr>
              <w:spacing w:after="0" w:line="240" w:lineRule="auto"/>
            </w:pPr>
            <w:r>
              <w:rPr>
                <w:sz w:val="15"/>
              </w:rPr>
              <w:t>12/44 = 0.273</w:t>
            </w:r>
          </w:p>
        </w:tc>
        <w:tc>
          <w:tcPr>
            <w:tcW w:w="3528" w:type="dxa"/>
            <w:tcMar>
              <w:top w:w="60" w:type="dxa"/>
              <w:left w:w="70" w:type="dxa"/>
              <w:bottom w:w="60" w:type="dxa"/>
              <w:right w:w="70" w:type="dxa"/>
            </w:tcMar>
            <w:vAlign w:val="center"/>
          </w:tcPr>
          <w:p w14:paraId="23C567E0" w14:textId="77777777">
            <w:r>
              <w:rPr>
                <w:sz w:val="15"/>
              </w:rPr>
              <w:t>Most conservative setting evaluated; use when false mechanistic claims are especially costly.</w:t>
            </w:r>
          </w:p>
        </w:tc>
      </w:tr>
    </w:tbl>
    <w:p>
      <w:r>
        <w:rPr>
          <w:sz w:val="18"/>
        </w:rPr>
        <w:t>Mechanism recovery is the mean grade among 28 variants with known structural mechanisms; correct rejection is the corresponding rate among 29 variants curated to lack a lesion on the modeled axes. Measured effects recovered counts experimentally destabilizing comparisons with |predicted ΔΔG| at or above the stated threshold.</w:t>
      </w:r>
    </w:p>
    <w:p w14:paraId="0522CF9D" w14:textId="77777777">
      <w:r>
        <w:t>The same tradeoff appeared in measured-energy comparisons. Of 44 experimentally destabilizing effects, 35 were detected at the 1.0 kcal/mol default, 13 at the 2.5 kcal/mol reference, and 12 at tSAP. Thus a conservative threshold can miss a real effect even when the measured destabilization is large.</w:t>
      </w:r>
    </w:p>
    <w:p w14:paraId="238364D2" w14:textId="77777777">
      <w:r>
        <w:t>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w14:paraId="02BF9B44" w14:textId="77777777">
      <w:pPr>
        <w:keepNext/>
        <w:spacing w:before="80" w:after="20"/>
        <w:jc w:val="center"/>
      </w:pPr>
      <w:r>
        <w:rPr>
          <w:noProof/>
        </w:rPr>
        <w:lastRenderedPageBreak/>
        <w:drawing>
          <wp:inline distT="0" distB="0" distL="0" distR="0" wp14:anchorId="08A4DB50" wp14:editId="377E4409">
            <wp:extent cx="6080760" cy="2802722"/>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lean.png"/>
                    <pic:cNvPicPr/>
                  </pic:nvPicPr>
                  <pic:blipFill>
                    <a:blip r:embed="rId15"/>
                    <a:stretch>
                      <a:fillRect/>
                    </a:stretch>
                  </pic:blipFill>
                  <pic:spPr>
                    <a:xfrm>
                      <a:off x="0" y="0"/>
                      <a:ext cx="6080760" cy="2802722"/>
                    </a:xfrm>
                    <a:prstGeom prst="rect">
                      <a:avLst/>
                    </a:prstGeom>
                  </pic:spPr>
                </pic:pic>
              </a:graphicData>
            </a:graphic>
          </wp:inline>
        </w:drawing>
      </w:r>
      <w:r>
        <w:rPr>
          <w:rStyle w:val="CommentReference"/>
          <w:sz w:val="21"/>
          <w:szCs w:val="22"/>
        </w:rPr>
      </w:r>
    </w:p>
    <w:p w14:paraId="0BB4446A" w14:textId="77777777">
      <w:pPr>
        <w:pStyle w:val="Caption"/>
        <w:keepNext/>
        <w:keepLines/>
        <w:spacing w:before="60" w:after="160"/>
      </w:pPr>
      <w:r>
        <w:rPr>
          <w:rFonts w:ascii="Arial" w:hAnsi="Arial" w:eastAsia="Arial"/>
        </w:rPr>
        <w:t>Fig 4.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w14:paraId="1DB15FA5" w14:textId="4242D2C7">
      <w:r>
        <w:rPr>
          <w:rFonts w:ascii="Arial" w:hAnsi="Arial" w:eastAsia="Arial"/>
        </w:rPr>
        <w:t>Direct within-system measurements supported two axes: rank correlation was 0.72 for the BRCA1 isolated-subunit series and 0.90 for hemoglobin binding [19,44,45]. The present benchmark contains no direct measured energy comparator for the assembled-complex stability calculation, so that axis is evaluated against literature-defined direction and mechanism expectations rather than energy calibration. Fig 5 shows the two directly anchored axes.</w:t>
      </w:r>
    </w:p>
    <w:p w14:paraId="38AEEBD7" w14:textId="77777777">
      <w:pPr>
        <w:keepNext/>
        <w:spacing w:before="80" w:after="20"/>
        <w:jc w:val="center"/>
      </w:pPr>
      <w:r>
        <w:rPr>
          <w:noProof/>
        </w:rPr>
        <w:drawing>
          <wp:inline distT="0" distB="0" distL="0" distR="0" wp14:anchorId="18D76620" wp1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6"/>
                    <a:stretch>
                      <a:fillRect/>
                    </a:stretch>
                  </pic:blipFill>
                  <pic:spPr>
                    <a:xfrm>
                      <a:off x="0" y="0"/>
                      <a:ext cx="6080760" cy="3026291"/>
                    </a:xfrm>
                    <a:prstGeom prst="rect">
                      <a:avLst/>
                    </a:prstGeom>
                  </pic:spPr>
                </pic:pic>
              </a:graphicData>
            </a:graphic>
          </wp:inline>
        </w:drawing>
      </w:r>
    </w:p>
    <w:p w14:paraId="299A5676" w14:textId="77777777">
      <w:pPr>
        <w:pStyle w:val="Caption"/>
        <w:keepNext/>
        <w:keepLines/>
        <w:spacing w:before="60" w:after="160"/>
      </w:pPr>
      <w:r>
        <w:t>Fig 5.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haemoglobin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w14:paraId="20F3A344" w14:textId="77777777">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w14:paraId="3DCB3C99" w14:textId="77777777">
      <w:pPr>
        <w:pStyle w:val="Heading2"/>
      </w:pPr>
      <w:r>
        <w:lastRenderedPageBreak/>
        <w:t>3.4 Structural context and energy support practical prioritization</w:t>
      </w:r>
    </w:p>
    <w:p w14:paraId="38E08BB4" w14:textId="77777777">
      <w:r>
        <w:rPr>
          <w:rFonts w:ascii="Arial" w:hAnsi="Arial" w:eastAsia="Arial"/>
        </w:rPr>
        <w:t>The structural-context tier identified 18 of 20 variants with modeled structural mechanisms as Tier 1 or 2, but it also placed 12 of 27 no-lesion variants in those tiers. It was therefore sensitive but not specific. Interface status alone was more specific, whereas the full tier recovered three structural variants outside a detected interface. The exact comparator table and within-system tests are in S4 Table and S3 Fig.</w:t>
      </w:r>
    </w:p>
    <w:p w14:paraId="195C553B" w14:textId="77777777">
      <w:r>
        <w:rPr>
          <w:rFonts w:ascii="Arial" w:hAnsi="Arial" w:eastAsia="Arial"/>
        </w:rPr>
        <w:t>The tier describes whether the mutated site lies in a structurally susceptible environment. It does not identify which energetic process is affected and should not override an axis-specific energy prediction. Its components therefore remain visible, and its fixed cut-points require prospective testing.</w:t>
      </w:r>
    </w:p>
    <w:p w14:paraId="063E6DF0" w14:textId="77777777">
      <w:r>
        <w:rPr>
          <w:rFonts w:ascii="Arial" w:hAnsi="Arial" w:eastAsia="Arial"/>
        </w:rPr>
        <w:t>We next asked whether combining energy magnitude and structural context moved variants with modeled structural lesions toward the top of a candidate list. This analysis used the overlapping set of 47 interaction variants with a committed structural endpoint: 20 structural-mechanism variants and 27 variants curated to lack a lesion on the modeled axes. The fixed priority score is defined in Methods.</w:t>
      </w:r>
    </w:p>
    <w:p w14:paraId="240C37D4" w14:textId="77777777">
      <w:r>
        <w:rPr>
          <w:rFonts w:ascii="Arial" w:hAnsi="Arial" w:eastAsia="Arial"/>
        </w:rPr>
        <w:t>The priority score placed 17 of 20 structural-mechanism variants in the top 20 and 18 of 20 in the top 25. Across the complete 47-variant ranking, structural-prioritization ROC AUC was 0.917 and average precision was 0.923. These are internal ranking results, not external performance estimates, pathogenicity estimates, or calibrated probabilities.</w:t>
      </w:r>
    </w:p>
    <w:p w14:paraId="03C676DE" w14:textId="77777777">
      <w:r>
        <w:rPr>
          <w:rFonts w:ascii="Arial" w:hAnsi="Arial" w:eastAsia="Arial"/>
        </w:rPr>
        <w:t>Fig 6 shows the score distributions and recovery within a limited experimental budget. The soft-saturation transformation, component ROC curves, score bands, leave-one-system-out influence, and alternative fixed formulas are reported in S5 Text and S4 Fig.</w:t>
      </w:r>
    </w:p>
    <w:p w14:paraId="6FCAD49F" w14:textId="77777777">
      <w:pPr>
        <w:keepNext/>
        <w:jc w:val="center"/>
      </w:pPr>
      <w:r>
        <w:rPr>
          <w:noProof/>
        </w:rPr>
        <w:drawing>
          <wp:inline distT="0" distB="0" distL="0" distR="0" wp14:anchorId="0204DB0D" wp14:editId="0F5423AB">
            <wp:extent cx="6080760" cy="2595427"/>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7"/>
                    <a:stretch>
                      <a:fillRect/>
                    </a:stretch>
                  </pic:blipFill>
                  <pic:spPr>
                    <a:xfrm>
                      <a:off x="0" y="0"/>
                      <a:ext cx="6080760" cy="2595427"/>
                    </a:xfrm>
                    <a:prstGeom prst="rect">
                      <a:avLst/>
                    </a:prstGeom>
                  </pic:spPr>
                </pic:pic>
              </a:graphicData>
            </a:graphic>
          </wp:inline>
        </w:drawing>
      </w:r>
      <w:r>
        <w:rPr>
          <w:rStyle w:val="CommentReference"/>
          <w:sz w:val="21"/>
          <w:szCs w:val="22"/>
        </w:rPr>
      </w:r>
    </w:p>
    <w:p w14:paraId="534BDDE2" w14:textId="77777777">
      <w:pPr>
        <w:pStyle w:val="Caption"/>
        <w:keepNext/>
        <w:keepLines/>
        <w:spacing w:before="60" w:after="160"/>
      </w:pPr>
      <w:r>
        <w:rPr>
          <w:rFonts w:ascii="Arial" w:hAnsi="Arial" w:eastAsia="Arial"/>
        </w:rPr>
        <w:t>Fig 6. The fixed priority score concentrates modeled structural mechanisms near the top of the ranking. (A) Priority-score distributions for the 20 structural-mechanism and 27 no-lesion variants in the 47-variant prioritization subset. (B) Recovery as the number of variants selected for follow-up increases: 10 structural mechanisms occur in the top 10, 17 of 20 in the top 20, and 18 of 20 in the top 25. ISDS-v1 is an internal structural-prioritization index, not a pathogenicity probability or a validated binary classifier.</w:t>
      </w:r>
    </w:p>
    <w:p w14:paraId="208C0656" w14:textId="77777777">
      <w:pPr>
        <w:pStyle w:val="Heading2"/>
      </w:pPr>
      <w:r>
        <w:t>3.5 COMAVI complements pathogenicity prediction and directs follow-up experiments</w:t>
      </w:r>
    </w:p>
    <w:p w14:paraId="36DBE5E9" w14:textId="77777777">
      <w:r>
        <w:rPr>
          <w:rFonts w:ascii="Arial" w:hAnsi="Arial" w:eastAsia="Arial"/>
        </w:rPr>
        <w:t>Pathogenicity prediction, structural prioritization, and mechanism interpretation answer different questions. On the common clinically labelled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0.917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w14:paraId="2D0FFF3A" w14:textId="77777777">
      <w:r>
        <w:t>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behaviour rather than a missed call - a high priority score is a claim about where to look, not a claim that a specific axis was disrupted.</w:t>
      </w:r>
    </w:p>
    <w:p w14:paraId="59BF16E8" w14:textId="77777777">
      <w:pPr>
        <w:keepNext/>
        <w:spacing w:before="80" w:after="20"/>
        <w:jc w:val="center"/>
      </w:pPr>
      <w:r>
        <w:rPr>
          <w:noProof/>
        </w:rPr>
        <w:drawing>
          <wp:inline distT="0" distB="0" distL="0" distR="0" wp14:anchorId="6B4D0D55" wp14:editId="060577F5">
            <wp:extent cx="5989320" cy="4125811"/>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alphamissense_isds_mechanism.png"/>
                    <pic:cNvPicPr/>
                  </pic:nvPicPr>
                  <pic:blipFill>
                    <a:blip r:embed="rId18"/>
                    <a:stretch>
                      <a:fillRect/>
                    </a:stretch>
                  </pic:blipFill>
                  <pic:spPr>
                    <a:xfrm>
                      <a:off x="0" y="0"/>
                      <a:ext cx="5989320" cy="4125811"/>
                    </a:xfrm>
                    <a:prstGeom prst="rect">
                      <a:avLst/>
                    </a:prstGeom>
                  </pic:spPr>
                </pic:pic>
              </a:graphicData>
            </a:graphic>
          </wp:inline>
        </w:drawing>
      </w:r>
      <w:r>
        <w:rPr>
          <w:rStyle w:val="CommentReference"/>
          <w:sz w:val="21"/>
          <w:szCs w:val="22"/>
        </w:rPr>
      </w:r>
    </w:p>
    <w:p w14:paraId="12DE9D06" w14:textId="77777777">
      <w:pPr>
        <w:pStyle w:val="Caption"/>
        <w:keepNext/>
        <w:keepLines/>
        <w:spacing w:before="60" w:after="160"/>
      </w:pPr>
      <w:r>
        <w:rPr>
          <w:rFonts w:ascii="Arial" w:hAnsi="Arial" w:eastAsia="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(C) Pathogenicity ROC AUCs on the common 47-variant complete-case population. These values answer a pathogenicity-ranking question and are distinct from the 0.917 structural-prioritization ROC AUC reported in Section 3.4. COMAVI scores remain structural descriptors, and the mechanism profile provides the process-specific interpretation.</w:t>
      </w:r>
    </w:p>
    <w:p w14:paraId="013AA163" w14:textId="77777777">
      <w:r>
        <w:t>Silent structural results occurred in both pathogenic and benign variants in this selected benchmark (S6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w14:paraId="414DFAE7" w14:textId="77777777">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w14:paraId="679F42A3" w14:textId="77777777">
      <w:pPr>
        <w:pStyle w:val="Heading1"/>
        <w:spacing w:after="50" w:line="240" w:lineRule="auto"/>
      </w:pPr>
      <w:r>
        <w:t>4. Discussion</w:t>
      </w:r>
    </w:p>
    <w:p w14:paraId="63CC60E6" w14:textId="77777777">
      <w:pPr>
        <w:pStyle w:val="Heading2"/>
      </w:pPr>
      <w:r>
        <w:rPr/>
        <w:t>4.1 Two linked outputs answer two practical questions</w:t>
      </w:r>
    </w:p>
    <w:p w14:paraId="32AE30CC" w14:textId="77777777">
      <w:r>
        <w:rPr>
          <w:rFonts w:ascii="Arial" w:hAnsi="Arial" w:eastAsia="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39.5/57 = 0.693. In the overlapping 47-variant prioritization subset, the priority score placed 17 of 20 modeled structural mechanisms within the top 20 candidates. These results support mechanism-directed triage and prioritization within the present literature-curated resource; they do not establish universal accuracy, clinical validity, or external generalization.</w:t>
      </w:r>
    </w:p>
    <w:p w14:paraId="5F92C265" w14:textId="77777777">
      <w:r>
        <w:rPr>
          <w:rFonts w:ascii="Arial" w:hAnsi="Arial" w:eastAsia="Arial"/>
        </w:rPr>
        <w:t>COMAVI's main scientific advantage is that it evaluates the same substitution in an isolated subunit and in the assembled complex. This comparison can distinguish a predicted folding problem from a predicted partner-binding problem or identify both. CFH R78G and VWF R1334Q show how that decomposition maps to affinity or assembly experiments, whereas HBB E6V shows why a missing structural state must limit interpretation.</w:t>
      </w:r>
    </w:p>
    <w:p w14:paraId="1C38970D" w14:textId="77777777">
      <w:r>
        <w:rPr>
          <w:rFonts w:ascii="Arial" w:hAnsi="Arial" w:eastAsia="Arial"/>
        </w:rPr>
        <w:t>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Prospective testing on new protein systems is therefore essential.</w:t>
      </w:r>
    </w:p>
    <w:p w14:paraId="420798F3" w14:textId="77777777">
      <w:pPr>
        <w:pStyle w:val="Heading2"/>
      </w:pPr>
      <w:r>
        <w:t>4.2 How to use COMAVI: rank, interpret, and test</w:t>
      </w:r>
    </w:p>
    <w:p w14:paraId="38838A34" w14:textId="77777777">
      <w:r>
        <w:rPr>
          <w:rFonts w:ascii="Arial" w:hAnsi="Arial" w:eastAsia="Arial"/>
        </w:rPr>
        <w:t>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p>
    <w:p w14:paraId="2959C442" w14:textId="77777777">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w14:paraId="73CAE9DF" w14:textId="77777777">
      <w:r>
        <w:t>COMAVI should be used alongside pathogenicity predictors, population evidence, functional assays, and clinical interpretation frameworks such as Franklin [46].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3.5 shows what such a display would and would not add: the two disagree in interpretable ways, so showing them together is useful provided they are not combined into a single score, which would reintroduce the conflation the separation is designed to avoid.</w:t>
      </w:r>
    </w:p>
    <w:p w14:paraId="4A7AFE4E" w14:textId="77777777">
      <w:pPr>
        <w:pStyle w:val="Heading2"/>
      </w:pPr>
      <w:r>
        <w:t>4.3 Limitations and validation priorities</w:t>
      </w:r>
    </w:p>
    <w:p w14:paraId="6B7ADE8F" w14:textId="77777777">
      <w:r>
        <w:t>FoldX predictions preserve direction and rank better than absolute magnitude. Large destabilizations are compressed, so stringent thresholds can miss real effects and the priority score cannot be interpreted in experimental energy units. The score's compression of extreme predictions limits their influence but does not calibrate FoldX.</w:t>
      </w:r>
    </w:p>
    <w:p w14:paraId="63B90730" w14:textId="77777777">
      <w:r>
        <w:rPr>
          <w:rFonts w:ascii="Arial" w:hAnsi="Arial" w:eastAsia="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w14:paraId="4C55A45D" w14:textId="77777777">
      <w:r>
        <w:t>Finally, COMAVI evaluates the supplied static coordinates. It cannot capture every catalytic, dynamic, aggregative, regulatory, post-translational, ligand-dependent, or state-dependent mechanism. Model limitations must therefore be assessed before a silent result is interpreted. Versioned literature curation remains important, and detailed evidence updates are documented in the supplement and repository.</w:t>
      </w:r>
    </w:p>
    <w:p w14:paraId="0C8F5B28" w14:textId="77777777">
      <w:r>
        <w:rPr>
          <w:rFonts w:ascii="Arial" w:hAnsi="Arial" w:eastAsia="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[2,47,48].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w14:paraId="72A8B910" w14:textId="77777777">
      <w:pPr>
        <w:pStyle w:val="Heading2"/>
      </w:pPr>
      <w:r>
        <w:lastRenderedPageBreak/>
        <w:t>4.4 Conclusion</w:t>
      </w:r>
    </w:p>
    <w:p w14:paraId="4DD0891B" w14:textId="77777777">
      <w:r>
        <w:rPr>
          <w:rFonts w:ascii="Arial" w:hAnsi="Arial" w:eastAsia="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w14:paraId="5428B908" w14:textId="77777777">
      <w:pPr>
        <w:pStyle w:val="Heading1"/>
      </w:pPr>
      <w:r>
        <w:t>Author contributions</w:t>
      </w:r>
    </w:p>
    <w:p w14:paraId="394F5B26" w14:textId="77777777">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w14:paraId="34688238" w14:textId="77777777">
      <w:pPr>
        <w:pStyle w:val="Heading1"/>
      </w:pPr>
      <w:r>
        <w:t>Funding</w:t>
      </w:r>
    </w:p>
    <w:p w14:paraId="285867C6" w14:textId="77777777">
      <w:r>
        <w:t>[Funding sources and grant numbers to be supplied before submission.] The funders had no role in study design, data collection and analysis, decision to publish, or preparation of the manuscript.</w:t>
      </w:r>
    </w:p>
    <w:p w14:paraId="6291F111" w14:textId="77777777">
      <w:pPr>
        <w:pStyle w:val="Heading1"/>
      </w:pPr>
      <w:r>
        <w:t>Competing interests</w:t>
      </w:r>
    </w:p>
    <w:p w14:paraId="13DA06B9" w14:textId="77777777">
      <w:r>
        <w:t>The authors declare no competing interests.</w:t>
      </w:r>
    </w:p>
    <w:p w14:paraId="2E40B01D" w14:textId="77777777">
      <w:pPr>
        <w:pStyle w:val="Heading1"/>
      </w:pPr>
      <w:r>
        <w:t>Ethics statement</w:t>
      </w:r>
    </w:p>
    <w:p w14:paraId="02B11843" w14:textId="77777777">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w14:paraId="5EFC8001" w14:textId="77777777">
      <w:pPr>
        <w:pStyle w:val="Heading1"/>
      </w:pPr>
      <w:r>
        <w:t>Code availability</w:t>
      </w:r>
    </w:p>
    <w:p w14:paraId="17C79304" w14:textId="77777777">
      <w:r>
        <w:rPr>
          <w:rFonts w:ascii="Arial" w:hAnsi="Arial" w:eastAsia="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w14:paraId="5E5FB31A" w14:textId="77777777">
      <w:pPr>
        <w:pStyle w:val="Heading1"/>
      </w:pPr>
      <w:r>
        <w:t>Data availability</w:t>
      </w:r>
    </w:p>
    <w:p w14:paraId="1866E48F" w14:textId="77777777">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w14:paraId="3E5AFBF2" w14:textId="77777777">
      <w:pPr>
        <w:pStyle w:val="Heading1"/>
      </w:pPr>
      <w:r>
        <w:t>Acknowledgements</w:t>
      </w:r>
    </w:p>
    <w:p w14:paraId="43803D05" w14:textId="77777777">
      <w:r>
        <w:t>[Acknowledgements to be supplied before submission.]</w:t>
      </w:r>
    </w:p>
    <w:p w14:paraId="29B1B4F2" w14:textId="77777777">
      <w:pPr>
        <w:pStyle w:val="Heading1"/>
      </w:pPr>
      <w:r>
        <w:t>References</w:t>
      </w:r>
    </w:p>
    <w:p w14:paraId="7BA3F3C6" w14:textId="77777777">
      <w:pPr>
        <w:spacing w:after="50" w:line="240" w:lineRule="auto"/>
        <w:ind w:left="360" w:hanging="360"/>
      </w:pPr>
      <w:r>
        <w:rPr>
          <w:rFonts w:eastAsia="Aptos"/>
          <w:sz w:val="17"/>
        </w:rPr>
        <w:t>1. Cheng J, Novati G, Pan J, et al. Accurate proteome-wide missense variant effect prediction with AlphaMissense. Science. 2023;381(6664):eadg7492. doi:10.1126/science.adg7492</w:t>
      </w:r>
    </w:p>
    <w:p w14:paraId="7483A273" w14:textId="77777777">
      <w:pPr>
        <w:spacing w:after="50" w:line="240" w:lineRule="auto"/>
        <w:ind w:left="360" w:hanging="360"/>
      </w:pPr>
      <w:r>
        <w:rPr>
          <w:rFonts w:eastAsia="Aptos"/>
          <w:sz w:val="17"/>
        </w:rPr>
        <w:t>2. Faure AJ, Domingo J, Schmiedel JM, Hidalgo-Carcedo C, Diss G, Lehner B. Mapping the energetic and allosteric landscapes of protein binding domains. Nature. 2022;604:175-183. doi:10.1038/s41586-022-04586-4</w:t>
      </w:r>
    </w:p>
    <w:p w14:paraId="2C325533" w14:textId="77777777">
      <w:pPr>
        <w:spacing w:after="50" w:line="240" w:lineRule="auto"/>
        <w:ind w:left="360" w:hanging="360"/>
      </w:pPr>
      <w:r>
        <w:rPr>
          <w:rFonts w:eastAsia="Aptos"/>
          <w:sz w:val="17"/>
        </w:rPr>
        <w:t>3. Arnaudi M, Utichi M, Tiberti M, Papaleo E. Predicting the structure-altering mechanisms of disease variants. Curr Opin Struct Biol. 2025;91:102994. doi:10.1016/j.sbi.2025.102994</w:t>
      </w:r>
    </w:p>
    <w:p w14:paraId="21FB6344" w14:textId="77777777">
      <w:pPr>
        <w:spacing w:after="50" w:line="240" w:lineRule="auto"/>
        <w:ind w:left="360" w:hanging="360"/>
      </w:pPr>
      <w:r>
        <w:rPr>
          <w:rFonts w:eastAsia="Aptos"/>
          <w:sz w:val="17"/>
        </w:rPr>
        <w:t>4. Arnaudi M, Utichi M, Degn K, Tiberti M, Beltrame L, Krzesińska K, et al. MAVISp: a modular structure-based framework for protein variant effects. Protein Sci. 2026;35(5):e70548. doi:10.1002/pro.70548</w:t>
      </w:r>
    </w:p>
    <w:p w14:paraId="51C5DE2A" w14:textId="77777777">
      <w:pPr>
        <w:spacing w:after="50" w:line="240" w:lineRule="auto"/>
        <w:ind w:left="360" w:hanging="360"/>
      </w:pPr>
      <w:r>
        <w:rPr>
          <w:rFonts w:eastAsia="Aptos"/>
          <w:sz w:val="17"/>
        </w:rPr>
        <w:t>5. Khanna T, Hanna G, Sternberg MJE, David A. Missense3D-DB web catalogue: an atom-based analysis and repository of 4M human protein-coding genetic variants. Hum Genet. 2021;140(5):805–812. doi:10.1007/s00439-020-02246-z</w:t>
      </w:r>
    </w:p>
    <w:p w14:paraId="2EE8C075" w14:textId="77777777">
      <w:pPr>
        <w:spacing w:after="50" w:line="240" w:lineRule="auto"/>
        <w:ind w:left="360" w:hanging="360"/>
      </w:pPr>
      <w:r>
        <w:rPr>
          <w:rFonts w:eastAsia="Aptos"/>
          <w:sz w:val="17"/>
        </w:rPr>
        <w:t>6. Woodard J, Zhang C, Zhang Y. ADDRESS: a database of disease-associated human variants incorporating protein structure and folding stabilities. J Mol Biol. 2021;433(11):166840. doi:10.1016/j.jmb.2021.166840</w:t>
      </w:r>
    </w:p>
    <w:p w14:paraId="322C221F" w14:textId="77777777">
      <w:pPr>
        <w:spacing w:after="50" w:line="240" w:lineRule="auto"/>
        <w:ind w:left="360" w:hanging="360"/>
      </w:pPr>
      <w:r>
        <w:rPr>
          <w:rFonts w:eastAsia="Aptos"/>
          <w:sz w:val="17"/>
        </w:rPr>
        <w:t>7. Philipp M, Moth CW, Ristic N, Tiemann JKS, Seufert F, Panfilova A, et al. MutationExplorer: a webserver for mutation of proteins and 3D visualization of energetic impacts. Nucleic Acids Res. 2024;52(W1):W132–W139. doi:10.1093/nar/gkae301</w:t>
      </w:r>
    </w:p>
    <w:p w14:paraId="6225BC07" w14:textId="77777777">
      <w:pPr>
        <w:spacing w:after="50" w:line="240" w:lineRule="auto"/>
        <w:ind w:left="360" w:hanging="360"/>
      </w:pPr>
      <w:r>
        <w:rPr>
          <w:rFonts w:eastAsia="Aptos"/>
          <w:sz w:val="17"/>
        </w:rPr>
        <w:t>8. Moth CW, Sheehan JH, Al Mamun A, Sivley RM, Gulsevin A, Rinker DC, et al. VUStruct: a compute pipeline for high throughput and personalized structural biology. PLoS Comput Biol. 2026;22(5):e1014183. doi:10.1371/journal.pcbi.1014183</w:t>
      </w:r>
    </w:p>
    <w:p w14:paraId="5CAB3E4B" w14:textId="77777777">
      <w:pPr>
        <w:spacing w:after="50" w:line="240" w:lineRule="auto"/>
        <w:ind w:left="360" w:hanging="360"/>
      </w:pPr>
      <w:r>
        <w:rPr>
          <w:rFonts w:eastAsia="Aptos"/>
          <w:sz w:val="17"/>
        </w:rPr>
        <w:t>9. Kwon S, Safer J, Nguyen DT, Hoksza D, May P, Arbesfeld JA, et al. Genomics 2 Proteins portal: a resource and discovery tool for linking genetic screening outputs to protein sequences and structures. Nat Methods. 2024;21(10):1947–1957. doi:10.1038/s41592-024-02409-0</w:t>
      </w:r>
    </w:p>
    <w:p w14:paraId="3081B6B6" w14:textId="77777777">
      <w:pPr>
        <w:spacing w:after="50" w:line="240" w:lineRule="auto"/>
        <w:ind w:left="360" w:hanging="360"/>
      </w:pPr>
      <w:r>
        <w:rPr>
          <w:rFonts w:eastAsia="Aptos"/>
          <w:sz w:val="17"/>
        </w:rPr>
        <w:t>10. Stephenson JD, Totoo P, Burke DF, Jänes J, Beltrao P, Martin MJ. ProtVar: mapping and contextualizing human missense variation. Nucleic Acids Res. 2024;52(W1):W140–W147. doi:10.1093/nar/gkae413</w:t>
      </w:r>
    </w:p>
    <w:p w14:paraId="1BD7FCAF" w14:textId="77777777">
      <w:pPr>
        <w:spacing w:after="50" w:line="240" w:lineRule="auto"/>
        <w:ind w:left="360" w:hanging="360"/>
      </w:pPr>
      <w:r>
        <w:rPr>
          <w:rFonts w:eastAsia="Aptos"/>
          <w:sz w:val="17"/>
        </w:rPr>
        <w:t>11. Buß O, Rudat J, Ochsenreither K. FoldX as protein engineering tool: better than random based approaches? Comput Struct Biotechnol J. 2018;16:25–33. doi:10.1016/j.csbj.2018.01.002</w:t>
      </w:r>
    </w:p>
    <w:p w14:paraId="480579A6" w14:textId="77777777">
      <w:pPr>
        <w:spacing w:after="50" w:line="240" w:lineRule="auto"/>
        <w:ind w:left="360" w:hanging="360"/>
      </w:pPr>
      <w:r>
        <w:rPr>
          <w:rFonts w:eastAsia="Aptos"/>
          <w:sz w:val="17"/>
        </w:rPr>
        <w:t>12. Rodrigues CHM, Myung Y, Pires DEV, Ascher DB. mCSM-PPI2: predicting the effects of mutations on protein–protein interactions. Nucleic Acids Res. 2019;47(W1):W338–W344. doi:10.1093/nar/gkz383</w:t>
      </w:r>
    </w:p>
    <w:p w14:paraId="1518B85D" w14:textId="77777777">
      <w:pPr>
        <w:spacing w:after="50" w:line="240" w:lineRule="auto"/>
        <w:ind w:left="360" w:hanging="360"/>
      </w:pPr>
      <w:r>
        <w:rPr>
          <w:rFonts w:eastAsia="Aptos"/>
          <w:sz w:val="17"/>
        </w:rPr>
        <w:t>13. Montanucci L, Capriotti E, Frank Y, Ben-Tal N, Fariselli P. DDGun: an untrained method for the prediction of protein stability changes upon single and multiple point variations. BMC Bioinformatics. 2019;20(Suppl 14):335. doi:10.1186/s12859-019-2923-1</w:t>
      </w:r>
    </w:p>
    <w:p w14:paraId="70658034" w14:textId="77777777">
      <w:pPr>
        <w:spacing w:after="50" w:line="240" w:lineRule="auto"/>
        <w:ind w:left="360" w:hanging="360"/>
      </w:pPr>
      <w:r>
        <w:rPr>
          <w:rFonts w:eastAsia="Aptos"/>
          <w:sz w:val="17"/>
        </w:rPr>
        <w:t>14. Livesey BJ, Marsh JA. Using deep mutational scanning to benchmark variant effect predictors and identify disease mutations. Mol Syst Biol. 2020;16(7):e9380. doi:10.15252/msb.20199380</w:t>
      </w:r>
    </w:p>
    <w:p w14:paraId="1091D2FC" w14:textId="77777777">
      <w:pPr>
        <w:spacing w:after="50" w:line="240" w:lineRule="auto"/>
        <w:ind w:left="360" w:hanging="360"/>
      </w:pPr>
      <w:r>
        <w:rPr>
          <w:rFonts w:eastAsia="Aptos"/>
          <w:sz w:val="17"/>
        </w:rPr>
        <w:t>15. Blaabjerg LM, Kassem MM, Good LL, Jonsson N, Cagiada M, Johansson KE, et al. Rapid protein stability prediction using deep learning representations. eLife. 2023;12:e82593. doi:10.7554/eLife.82593</w:t>
      </w:r>
    </w:p>
    <w:p w14:paraId="4557BBA1" w14:textId="77777777">
      <w:pPr>
        <w:spacing w:after="50" w:line="240" w:lineRule="auto"/>
        <w:ind w:left="360" w:hanging="360"/>
      </w:pPr>
      <w:r>
        <w:rPr>
          <w:rFonts w:eastAsia="Aptos"/>
          <w:sz w:val="17"/>
        </w:rPr>
        <w:t>16. Arnaudi M, Utichi M, Beltrame L, et al. RosettaDDGPrediction for high-throughput mutational scans: from stability to binding. Protein Sci. 2023;32(1):e4527. doi:10.1002/pro.4527</w:t>
      </w:r>
    </w:p>
    <w:p w14:paraId="7B4B3A6E" w14:textId="77777777">
      <w:pPr>
        <w:spacing w:after="50" w:line="240" w:lineRule="auto"/>
        <w:ind w:left="360" w:hanging="360"/>
      </w:pPr>
      <w:r>
        <w:rPr>
          <w:rFonts w:eastAsia="Aptos"/>
          <w:sz w:val="17"/>
        </w:rPr>
        <w:t>17. Degn K, Utichi M, Besora Sánchez-Izquierdo P, Tiberti M, Papaleo E. In-silico stability predictors: investigation of performance towards balanced experimental data. bioRxiv. 2025. doi:10.1101/2025.03.28.645695</w:t>
      </w:r>
    </w:p>
    <w:p w14:paraId="100D97C2" w14:textId="77777777">
      <w:pPr>
        <w:spacing w:after="50" w:line="240" w:lineRule="auto"/>
        <w:ind w:left="360" w:hanging="360"/>
      </w:pPr>
      <w:r>
        <w:rPr>
          <w:rFonts w:eastAsia="Aptos"/>
          <w:sz w:val="17"/>
        </w:rPr>
        <w:t>18. Vliora A, Tiberti M, Papaleo E. Evaluating FoldX 5.1 for MAVISp stability data collection. bioRxiv. 2026. doi:10.64898/2026.03.31.715598</w:t>
      </w:r>
    </w:p>
    <w:p w14:paraId="20137826" w14:textId="77777777">
      <w:pPr>
        <w:spacing w:after="50" w:line="240" w:lineRule="auto"/>
        <w:ind w:left="360" w:hanging="360"/>
      </w:pPr>
      <w:r>
        <w:rPr>
          <w:rFonts w:eastAsia="Aptos"/>
          <w:sz w:val="17"/>
        </w:rPr>
        <w:t>19. Rowling PJE, Cook R, Itzhaki LS. Toward classification of BRCA1 missense variants using a biophysical approach. J Biol Chem. 2010;285(26):20080–20087. doi:10.1074/jbc.M109.088922</w:t>
      </w:r>
    </w:p>
    <w:p w14:paraId="00F4427B" w14:textId="77777777">
      <w:pPr>
        <w:spacing w:after="50" w:line="240" w:lineRule="auto"/>
        <w:ind w:left="360" w:hanging="360"/>
      </w:pPr>
      <w:r>
        <w:rPr>
          <w:rFonts w:eastAsia="Aptos"/>
          <w:sz w:val="17"/>
        </w:rPr>
        <w:t>20. Clark KA, Yang QP, Weeks AM, et al. Comprehensive evaluation and efficient classification of BRCA1 RING domain missense substitutions. Am J Hum Genet. 2022;109(6):1153–1174. doi:10.1016/j.ajhg.2022.05.004</w:t>
      </w:r>
    </w:p>
    <w:p w14:paraId="35A71844" w14:textId="77777777">
      <w:pPr>
        <w:spacing w:after="50" w:line="240" w:lineRule="auto"/>
        <w:ind w:left="360" w:hanging="360"/>
      </w:pPr>
      <w:r>
        <w:rPr>
          <w:rFonts w:eastAsia="Aptos"/>
          <w:sz w:val="17"/>
        </w:rPr>
        <w:t>21. Starita LM, Young DL, Islam M, et al. Massively parallel functional analysis of BRCA1 RING domain variants. Genetics. 2015;200(2):413–422. doi:10.1534/genetics.115.175802</w:t>
      </w:r>
    </w:p>
    <w:p w14:paraId="665AA94A" w14:textId="77777777">
      <w:pPr>
        <w:spacing w:after="50" w:line="240" w:lineRule="auto"/>
        <w:ind w:left="360" w:hanging="360"/>
      </w:pPr>
      <w:r>
        <w:rPr>
          <w:rFonts w:eastAsia="Aptos"/>
          <w:sz w:val="17"/>
        </w:rPr>
        <w:t>22. Crotti L, Johnson CN, Graf E, et al. Calmodulin mutations associated with recurrent cardiac arrest in infants. Circulation. 2013;127(9):1009–1017. doi:10.1161/CIRCULATIONAHA.112.001216</w:t>
      </w:r>
    </w:p>
    <w:p w14:paraId="68735211" w14:textId="77777777">
      <w:pPr>
        <w:spacing w:after="50" w:line="240" w:lineRule="auto"/>
        <w:ind w:left="360" w:hanging="360"/>
      </w:pPr>
      <w:r>
        <w:rPr>
          <w:rFonts w:eastAsia="Aptos"/>
          <w:sz w:val="17"/>
        </w:rPr>
        <w:t>23. Hunter JC, Manandhar A, Carrasco MA, Gurbani D, Gondi S, Westover KD. Biochemical and structural analysis of common cancer-associated KRAS mutations. Mol Cancer Res. 2015;13(9):1325–1335. doi:10.1158/1541-7786.MCR-15-0203</w:t>
      </w:r>
    </w:p>
    <w:p w14:paraId="2B205541" w14:textId="77777777">
      <w:pPr>
        <w:spacing w:after="50" w:line="240" w:lineRule="auto"/>
        <w:ind w:left="360" w:hanging="360"/>
      </w:pPr>
      <w:r>
        <w:rPr>
          <w:rFonts w:eastAsia="Aptos"/>
          <w:sz w:val="17"/>
        </w:rPr>
        <w:t>24. Kosinski J, Hinrichsen I, Bujnicki JM, Friedhoff P, Plotz G. Identification of Lynch syndrome mutations in the MLH1-PMS2 interface that disturb dimerization and mismatch repair. Hum Mutat. 2010;31(8):975–982. doi:10.1002/humu.21301</w:t>
      </w:r>
    </w:p>
    <w:p w14:paraId="12737ADA" w14:textId="77777777">
      <w:pPr>
        <w:spacing w:after="50" w:line="240" w:lineRule="auto"/>
        <w:ind w:left="360" w:hanging="360"/>
      </w:pPr>
      <w:r>
        <w:rPr>
          <w:rFonts w:eastAsia="Aptos"/>
          <w:sz w:val="17"/>
        </w:rPr>
        <w:t>25. Raevaara TE, Korhonen MK, Lohi H, et al. Functional significance and clinical phenotype of nontruncating mismatch repair variants of MLH1. Gastroenterology. 2005;129(2):537–549. doi:10.1053/j.gastro.2005.06.005</w:t>
      </w:r>
    </w:p>
    <w:p w14:paraId="733CC7AC" w14:textId="77777777">
      <w:pPr>
        <w:spacing w:after="50" w:line="240" w:lineRule="auto"/>
        <w:ind w:left="360" w:hanging="360"/>
      </w:pPr>
      <w:r>
        <w:rPr>
          <w:rFonts w:eastAsia="Aptos"/>
          <w:sz w:val="17"/>
        </w:rPr>
        <w:t>26. Drost M, Tiersma Y, Glubb D, et al. A functional assay-based procedure to classify mismatch repair gene variants in Lynch syndrome. Genet Med. 2019;21(7):1486–1496. doi:10.1038/s41436-018-0372-2</w:t>
      </w:r>
    </w:p>
    <w:p w14:paraId="7DC50073" w14:textId="77777777">
      <w:pPr>
        <w:spacing w:after="50" w:line="240" w:lineRule="auto"/>
        <w:ind w:left="360" w:hanging="360"/>
      </w:pPr>
      <w:r>
        <w:rPr>
          <w:rFonts w:eastAsia="Aptos"/>
          <w:sz w:val="17"/>
        </w:rPr>
        <w:t>27. Ollila S, Sarantaus L, Kariola R, et al. Pathogenicity of MSH2 missense mutations is typically associated with impaired repair capability of the mutated protein. Gastroenterology. 2006;131(5):1408–1417. doi:10.1053/j.gastro.2006.08.044</w:t>
      </w:r>
    </w:p>
    <w:p w14:paraId="09AF3C6F" w14:textId="77777777">
      <w:pPr>
        <w:spacing w:after="50" w:line="240" w:lineRule="auto"/>
        <w:ind w:left="360" w:hanging="360"/>
      </w:pPr>
      <w:r>
        <w:rPr>
          <w:rFonts w:eastAsia="Aptos"/>
          <w:sz w:val="17"/>
        </w:rPr>
        <w:t>28. Ollila S, Dermadi Bebek D, Jiricny J, Nyström M. Mechanisms of pathogenicity in human MSH2 missense mutants. Hum Mutat. 2008;29(11):1355–1363. doi:10.1002/humu.20893</w:t>
      </w:r>
    </w:p>
    <w:p w14:paraId="22AE1D28" w14:textId="77777777">
      <w:pPr>
        <w:spacing w:after="50" w:line="240" w:lineRule="auto"/>
        <w:ind w:left="360" w:hanging="360"/>
      </w:pPr>
      <w:r>
        <w:rPr>
          <w:rFonts w:eastAsia="Aptos"/>
          <w:sz w:val="17"/>
        </w:rPr>
        <w:t>29. Jia X, Burugula BB, Chen V, et al. Massively parallel functional testing of MSH2 missense variants conferring Lynch syndrome risk. Am J Hum Genet. 2021;108(1):163–175. doi:10.1016/j.ajhg.2020.12.003</w:t>
      </w:r>
    </w:p>
    <w:p w14:paraId="0CA14F2B" w14:textId="77777777">
      <w:pPr>
        <w:spacing w:after="50" w:line="240" w:lineRule="auto"/>
        <w:ind w:left="360" w:hanging="360"/>
      </w:pPr>
      <w:r>
        <w:rPr>
          <w:rFonts w:eastAsia="Aptos"/>
          <w:sz w:val="17"/>
        </w:rPr>
        <w:t>30. Zhao L, Vogt PK. Helical domain and kinase domain mutations in p110α of phosphatidylinositol 3-kinase induce gain of function by different mechanisms. Proc Natl Acad Sci USA. 2008;105(7):2652–2657. doi:10.1073/pnas.0712169105</w:t>
      </w:r>
    </w:p>
    <w:p w14:paraId="2366CA9D" w14:textId="77777777">
      <w:pPr>
        <w:spacing w:after="50" w:line="240" w:lineRule="auto"/>
        <w:ind w:left="360" w:hanging="360"/>
      </w:pPr>
      <w:r>
        <w:rPr>
          <w:rFonts w:eastAsia="Aptos"/>
          <w:sz w:val="17"/>
        </w:rPr>
        <w:t>31. Mandelker D, Gabelli SB, Schmidt-Kittler O, et al. A frequent kinase domain mutation that changes the interaction between PI3Kα and the membrane. Proc Natl Acad Sci USA. 2009;106(40):16996–17001. doi:10.1073/pnas.0908444106</w:t>
      </w:r>
    </w:p>
    <w:p w14:paraId="3977A009" w14:textId="77777777">
      <w:pPr>
        <w:spacing w:after="50" w:line="240" w:lineRule="auto"/>
        <w:ind w:left="360" w:hanging="360"/>
      </w:pPr>
      <w:r>
        <w:rPr>
          <w:rFonts w:eastAsia="Aptos"/>
          <w:sz w:val="17"/>
        </w:rPr>
        <w:t>32. Jaiswal BS, Janakiraman V, Kljavin NM, et al. Somatic mutations in p85α promote tumorigenesis through class IA PI3K activation. Cancer Cell. 2009;16(6):463–474. doi:10.1016/j.ccr.2009.10.016</w:t>
      </w:r>
    </w:p>
    <w:p w14:paraId="3D43392F" w14:textId="77777777">
      <w:pPr>
        <w:spacing w:after="50" w:line="240" w:lineRule="auto"/>
        <w:ind w:left="360" w:hanging="360"/>
      </w:pPr>
      <w:r>
        <w:rPr>
          <w:rFonts w:eastAsia="Aptos"/>
          <w:sz w:val="17"/>
        </w:rPr>
        <w:t>33. De Bosscher K, Hill CS, Nicolás FJ. Molecular and functional consequences of Smad4 C-terminal missense mutations in colorectal tumour cells. Biochem J. 2004;379(Pt 1):209–216. doi:10.1042/bj20031886</w:t>
      </w:r>
    </w:p>
    <w:p w14:paraId="56F59797" w14:textId="77777777">
      <w:pPr>
        <w:spacing w:after="50" w:line="240" w:lineRule="auto"/>
        <w:ind w:left="360" w:hanging="360"/>
      </w:pPr>
      <w:r>
        <w:rPr>
          <w:rFonts w:eastAsia="Aptos"/>
          <w:sz w:val="17"/>
        </w:rPr>
        <w:t>34. Le Goff C, Mahaut C, Abhyankar A, et al. Mutations at a single codon in Mad homology 2 domain of SMAD4 cause Myhre syndrome. Nat Genet. 2011;44(1):85–88. doi:10.1038/ng.1016</w:t>
      </w:r>
    </w:p>
    <w:p w14:paraId="26C55BB1" w14:textId="77777777">
      <w:pPr>
        <w:spacing w:after="50" w:line="240" w:lineRule="auto"/>
        <w:ind w:left="360" w:hanging="360"/>
      </w:pPr>
      <w:r>
        <w:rPr>
          <w:rFonts w:eastAsia="Aptos"/>
          <w:sz w:val="17"/>
        </w:rPr>
        <w:t>35. Lanauze CB, Sehgal P, Hayer K, et al. Colorectal cancer-associated Smad4 R361 hotspot mutations boost Wnt/β-catenin signaling through enhanced Smad4-LEF1 binding. Mol Cancer Res. 2021;19(5):823–833. doi:10.1158/1541-7786.MCR-20-0721</w:t>
      </w:r>
    </w:p>
    <w:p w14:paraId="7C5B54FD" w14:textId="77777777">
      <w:pPr>
        <w:spacing w:after="50" w:line="240" w:lineRule="auto"/>
        <w:ind w:left="360" w:hanging="360"/>
      </w:pPr>
      <w:r>
        <w:rPr>
          <w:rFonts w:eastAsia="Aptos"/>
          <w:sz w:val="17"/>
        </w:rPr>
        <w:t>36. Elliott K, Watkins H, Redwood CS. Altered regulatory properties of human cardiac troponin I mutants that cause hypertrophic cardiomyopathy. J Biol Chem. 2000;275(29):22069–22074. doi:10.1074/jbc.M002502200</w:t>
      </w:r>
    </w:p>
    <w:p w14:paraId="56D856E2" w14:textId="77777777">
      <w:pPr>
        <w:spacing w:after="50" w:line="240" w:lineRule="auto"/>
        <w:ind w:left="360" w:hanging="360"/>
      </w:pPr>
      <w:r>
        <w:rPr>
          <w:rFonts w:eastAsia="Aptos"/>
          <w:sz w:val="17"/>
        </w:rPr>
        <w:t>37. Stebbins CE, Kaelin WG Jr, Pavletich NP. Structure of the VHL-ElonginC-ElonginB complex: implications for VHL tumor suppressor function. Science. 1999;284(5413):455–461. doi:10.1126/science.284.5413.455</w:t>
      </w:r>
    </w:p>
    <w:p w14:paraId="448A085F" w14:textId="77777777">
      <w:pPr>
        <w:spacing w:after="50" w:line="240" w:lineRule="auto"/>
        <w:ind w:left="360" w:hanging="360"/>
      </w:pPr>
      <w:r>
        <w:rPr>
          <w:rFonts w:eastAsia="Aptos"/>
          <w:sz w:val="17"/>
        </w:rPr>
        <w:t>38. Ohh M, Park CW, Ivan M, et al. Ubiquitination of hypoxia-inducible factor requires direct binding to the β-domain of the von Hippel-Lindau protein. Nat Cell Biol. 2000;2(7):423–427. doi:10.1038/35017054</w:t>
      </w:r>
    </w:p>
    <w:p w14:paraId="7E1EB8C9" w14:textId="77777777">
      <w:pPr>
        <w:spacing w:after="50" w:line="240" w:lineRule="auto"/>
        <w:ind w:left="360" w:hanging="360"/>
      </w:pPr>
      <w:r>
        <w:rPr>
          <w:rFonts w:eastAsia="Aptos"/>
          <w:sz w:val="17"/>
        </w:rPr>
        <w:t>39. Abramson J, Adler J, Dunger J, et al. Accurate structure prediction of biomolecular interactions with AlphaFold 3. Nature. 2024;630(8016):493–500. doi:10.1038/s41586-024-07487-w</w:t>
      </w:r>
    </w:p>
    <w:p w14:paraId="2177705F" w14:textId="77777777">
      <w:pPr>
        <w:spacing w:after="50" w:line="240" w:lineRule="auto"/>
        <w:ind w:left="360" w:hanging="360"/>
      </w:pPr>
      <w:r>
        <w:rPr>
          <w:rFonts w:eastAsia="Aptos"/>
          <w:sz w:val="17"/>
        </w:rPr>
        <w:t>40. Schymkowitz J, Borg J, Stricher F, Nys R, Rousseau F, Serrano L. The FoldX web server: an online force field. Nucleic Acids Res. 2005;33(Web Server issue):W382–W388. doi:10.1093/nar/gki387</w:t>
      </w:r>
    </w:p>
    <w:p w14:paraId="4D96043D" w14:textId="77777777">
      <w:pPr>
        <w:spacing w:after="50" w:line="240" w:lineRule="auto"/>
        <w:ind w:left="360" w:hanging="360"/>
      </w:pPr>
      <w:r>
        <w:rPr>
          <w:rFonts w:eastAsia="Aptos"/>
          <w:sz w:val="17"/>
        </w:rPr>
        <w:t>41. Sapozhnikov Y, Patel JS, Ytreberg FM, Miller CR. Statistical modeling to quantify the uncertainty of FoldX-predicted protein folding and binding stability. BMC Bioinformatics. 2023;24:426. doi:10.1186/s12859-023-05537-0</w:t>
      </w:r>
    </w:p>
    <w:p w14:paraId="3F1D7737" w14:textId="77777777">
      <w:pPr>
        <w:spacing w:after="50" w:line="240" w:lineRule="auto"/>
        <w:ind w:left="360" w:hanging="360"/>
      </w:pPr>
      <w:r>
        <w:rPr>
          <w:rFonts w:eastAsia="Aptos"/>
          <w:sz w:val="17"/>
        </w:rPr>
        <w:t>42. Pechtl IC, Kavanagh D, McIntosh N, Harris CL, Barlow PN. Disease-associated N-terminal complement factor H mutations perturb cofactor and decay-accelerating activities. J Biol Chem. 2011;286(13):11082–11090. doi:10.1074/jbc.M110.211839</w:t>
      </w:r>
    </w:p>
    <w:p w14:paraId="7E701068" w14:textId="77777777">
      <w:pPr>
        <w:spacing w:after="50" w:line="240" w:lineRule="auto"/>
        <w:ind w:left="360" w:hanging="360"/>
      </w:pPr>
      <w:r>
        <w:rPr>
          <w:rFonts w:eastAsia="Aptos"/>
          <w:sz w:val="17"/>
        </w:rPr>
        <w:t>43. Tischer A, Machha VR, Rösner V, et al. Structure-resolved dynamics of type 2M von Willebrand disease. J Thromb Haemost. 2025;23(4):1215–1228. doi:10.1016/j.jtha.2024.12.026</w:t>
      </w:r>
    </w:p>
    <w:p w14:paraId="25F51A5B" w14:textId="77777777">
      <w:pPr>
        <w:spacing w:after="50" w:line="240" w:lineRule="auto"/>
        <w:ind w:left="360" w:hanging="360"/>
      </w:pPr>
      <w:r>
        <w:rPr>
          <w:rFonts w:eastAsia="Aptos"/>
          <w:sz w:val="17"/>
        </w:rPr>
        <w:t>44. Kwiatkowski LD, Hui HL, Wierzba A, et al. Preparation and kinetic characterization of a series of βW37 variants of human hemoglobin A: evidence for high-affinity T quaternary structures. Biochemistry. 1998;37(13):4325–4335. doi:10.1021/bi970866q</w:t>
      </w:r>
    </w:p>
    <w:p w14:paraId="4700D2A6" w14:textId="77777777">
      <w:pPr>
        <w:spacing w:after="50" w:line="240" w:lineRule="auto"/>
        <w:ind w:left="360" w:hanging="360"/>
      </w:pPr>
      <w:r>
        <w:rPr>
          <w:rFonts w:eastAsia="Aptos"/>
          <w:sz w:val="17"/>
        </w:rPr>
        <w:t>45. Bonaventura J, Riggs A. Hemoglobin Kansas, a human hemoglobin with a neutral amino acid substitution and an abnormal oxygen equilibrium. J Biol Chem. 1968;243(5):980–991. doi:10.1016/S0021-9258(18)93612-4</w:t>
      </w:r>
    </w:p>
    <w:p w14:paraId="36F9969B" w14:textId="77777777">
      <w:pPr>
        <w:spacing w:after="50" w:line="240" w:lineRule="auto"/>
        <w:ind w:left="360" w:hanging="360"/>
      </w:pPr>
      <w:r>
        <w:rPr>
          <w:rFonts w:eastAsia="Aptos"/>
          <w:sz w:val="17"/>
        </w:rPr>
        <w:t>46. Franklin by Genoox. Genomic variant interpretation platform. Genoox Ltd. https://franklin.genoox.com (accessed 2026).</w:t>
      </w:r>
    </w:p>
    <w:p w14:paraId="78FBFFB9" w14:textId="77777777">
      <w:pPr>
        <w:spacing w:after="50" w:line="240" w:lineRule="auto"/>
        <w:ind w:left="360" w:hanging="360"/>
      </w:pPr>
      <w:r>
        <w:rPr>
          <w:rFonts w:eastAsia="Aptos"/>
          <w:sz w:val="17"/>
        </w:rPr>
        <w:t>47. Vassall KA, Stathopulos PB, Rumfeldt JAO, Lepock JR, Meiering EM. Equilibrium thermodynamic analysis of amyotrophic lateral sclerosis-associated mutant apo Cu,Zn superoxide dismutases. Biochemistry. 2006;45(23):7366-7379. doi:10.1021/bi0600953</w:t>
      </w:r>
    </w:p>
    <w:p w14:paraId="768E5669" w14:textId="77777777">
      <w:pPr>
        <w:spacing w:after="50" w:line="240" w:lineRule="auto"/>
        <w:ind w:left="360" w:hanging="360"/>
      </w:pPr>
      <w:r>
        <w:rPr>
          <w:rFonts w:eastAsia="Aptos"/>
          <w:sz w:val="17"/>
        </w:rPr>
        <w:t>48.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14:paraId="5BCBDD67" w14:textId="77777777">
      <w:pPr>
        <w:spacing w:after="50" w:line="240" w:lineRule="auto"/>
        <w:ind w:left="360" w:hanging="360"/>
      </w:pPr>
      <w:r>
        <w:rPr>
          <w:rFonts w:eastAsia="Aptos"/>
          <w:sz w:val="17"/>
        </w:rPr>
        <w:t>49. Grantham R. Amino acid difference formula to help explain protein evolution. Science. 1974;185(4154):862–864. doi:10.1126/science.185.4154.862</w:t>
      </w:r>
    </w:p>
    <w:p w14:paraId="441BE418" w14:textId="77777777">
      <w:pPr>
        <w:spacing w:after="50" w:line="240" w:lineRule="auto"/>
        <w:ind w:left="360" w:hanging="360"/>
      </w:pPr>
      <w:r>
        <w:rPr>
          <w:rFonts w:eastAsia="Aptos"/>
          <w:sz w:val="17"/>
        </w:rPr>
        <w:t>50. Abildgaard AB, Stein A, Nielsen SV, Schultz-Knudsen K, Papaleo E, Shrikhande A, et al. Computational and cellular studies reveal structural destabilization and degradation of MLH1 variants in Lynch syndrome. eLife. 2019;8:e49138. doi:10.7554/eLife.49138</w:t>
      </w:r>
    </w:p>
    <w:p w14:paraId="7D0A55FD" w14:textId="77777777">
      <w:pPr>
        <w:spacing w:after="50" w:line="240" w:lineRule="auto"/>
        <w:ind w:left="360" w:hanging="360"/>
      </w:pPr>
      <w:r>
        <w:rPr>
          <w:rFonts w:eastAsia="Aptos"/>
          <w:sz w:val="17"/>
        </w:rPr>
        <w:t>51. Nielsen SV, Stein A, Dinitzen AB, Papaleo E, Tatham MH, Poulsen EG, et al. Predicting the impact of Lynch syndrome-causing missense mutations from structural calculations. PLoS Genet. 2017;13(4):e1006739. doi:10.1371/journal.pgen.1006739</w:t>
      </w:r>
    </w:p>
    <w:p w14:paraId="059E0FFC" w14:textId="77777777">
      <w:pPr>
        <w:spacing w:after="50" w:line="240" w:lineRule="auto"/>
        <w:ind w:left="360" w:hanging="360"/>
      </w:pPr>
      <w:r>
        <w:rPr>
          <w:rFonts w:eastAsia="Aptos"/>
          <w:sz w:val="17"/>
        </w:rPr>
        <w:t>52. Jankauskaitė J, Jiménez-García B, Dapkūnas J, Fernández-Recio J, Moal IH. SKEMPI 2.0: an updated benchmark of changes in protein–protein binding energy, kinetics and thermodynamics upon mutation. Bioinformatics. 2019;35(3):462–469. doi:10.1093/bioinformatics/bty635</w:t>
      </w:r>
    </w:p>
    <w:p w14:paraId="0F2D6903" w14:textId="77777777">
      <w:pPr>
        <w:pStyle w:val="Heading1"/>
        <w:pageBreakBefore/>
      </w:pPr>
      <w:r>
        <w:lastRenderedPageBreak/>
        <w:t>Supplementary information</w:t>
      </w:r>
    </w:p>
    <w:p w14:paraId="5C224B31" w14:textId="77777777">
      <w:pPr>
        <w:pStyle w:val="Heading2"/>
      </w:pPr>
      <w:r>
        <w:t>S1 Text. Implementation details and statistical conventions</w:t>
      </w:r>
    </w:p>
    <w:p w14:paraId="2AAB6BFF" w14:textId="77777777">
      <w:r>
        <w:t>Each structural context was repaired once and cached. Variants were specified in FoldX notation. BuildModel was run five times on both isolated and assembled coordinates, and AnalyseComplex was applied pairwise to each resulting mutant complex. Beyond the command, input, replicate count, partner chains, and output directory, no FoldX energy-function parameter was overridden.</w:t>
      </w:r>
    </w:p>
    <w:p w14:paraId="0D5ADD46" w14:textId="77777777">
      <w:pPr>
        <w:shd w:val="clear" w:color="auto" w:fill="EEF1F4"/>
        <w:spacing w:after="0" w:line="240" w:lineRule="auto"/>
        <w:ind w:left="288" w:right="288"/>
      </w:pPr>
      <w:r>
        <w:rPr>
          <w:rFonts w:ascii="Courier New" w:hAnsi="Courier New"/>
          <w:sz w:val="16"/>
        </w:rPr>
        <w:t>foldx --command=RepairPDB --pdb=&lt;structure&gt; --output-dir=&lt;workdir&gt;</w:t>
      </w:r>
    </w:p>
    <w:p w14:paraId="71E76C6A" w14:textId="77777777">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w14:paraId="5637223B" w14:textId="77777777">
      <w:pPr>
        <w:shd w:val="clear" w:color="auto" w:fill="EEF1F4"/>
        <w:spacing w:after="0" w:line="240" w:lineRule="auto"/>
        <w:ind w:left="288" w:right="288"/>
      </w:pPr>
      <w:r>
        <w:rPr>
          <w:rFonts w:ascii="Courier New" w:hAnsi="Courier New"/>
          <w:sz w:val="16"/>
        </w:rPr>
        <w:t>foldx --command=AnalyseComplex --pdb=&lt;mutant_complex&gt; --analyseComplexChains=&lt;chainA&gt;,&lt;chainB&gt; --output-dir=&lt;workdir&gt;</w:t>
      </w:r>
    </w:p>
    <w:p w14:paraId="1C2917DD" w14:textId="77777777">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14:paraId="6F85385F" w14:textId="77777777">
      <w:r>
        <w:t>Structural-context tier implementation. The raw score is Grantham substitution severity [49]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val="0"/>
        </w:rPr>
        <w:t>S1 Table. The 61 benchmark variants. Every variant scored in this paper, with the clinical annotation, the expected mechanism defined from primary literature before COMAVI results were considered, the structural-context tier, and COMAVI's graded agreement at the 2.5 kcal/mol reference threshold. Evidence basis and citation give the specific published result that defined each expectation. A dash denotes a field that does not apply: the 12 monomer-only BRCA1 BRCT variants carry no partner-dependent tier, and 7 variants carry no committed expectation on any modeled axis. Measured DDG is shown for the 15 variants with a direct in-benchmark energetic measurement.</w:t>
      </w:r>
    </w:p>
    <w:tbl>
      <w:tblPr>
        <w:tblW w:type="auto" w:w="0"/>
        <w:tblLook w:firstColumn="1" w:firstRow="1" w:lastColumn="0" w:lastRow="0" w:noHBand="0" w:noVBand="1" w:val="04A0"/>
      </w:tblPr>
      <w:tblGrid>
        <w:gridCol w:w="769"/>
        <w:gridCol w:w="769"/>
        <w:gridCol w:w="769"/>
        <w:gridCol w:w="769"/>
        <w:gridCol w:w="769"/>
        <w:gridCol w:w="769"/>
        <w:gridCol w:w="769"/>
        <w:gridCol w:w="769"/>
        <w:gridCol w:w="769"/>
        <w:gridCol w:w="769"/>
        <w:gridCol w:w="769"/>
        <w:gridCol w:w="769"/>
        <w:gridCol w:w="769"/>
      </w:tblGrid>
      <w:tr>
        <w:tc>
          <w:tcPr>
            <w:tcW w:type="dxa" w:w="769"/>
          </w:tcPr>
          <w:p>
            <w:r>
              <w:rPr>
                <w:b/>
                <w:sz w:val="13"/>
              </w:rPr>
              <w:t>System</w:t>
            </w:r>
          </w:p>
        </w:tc>
        <w:tc>
          <w:tcPr>
            <w:tcW w:type="dxa" w:w="769"/>
          </w:tcPr>
          <w:p>
            <w:r>
              <w:rPr>
                <w:b/>
                <w:sz w:val="13"/>
              </w:rPr>
              <w:t>Gene</w:t>
            </w:r>
          </w:p>
        </w:tc>
        <w:tc>
          <w:tcPr>
            <w:tcW w:type="dxa" w:w="769"/>
          </w:tcPr>
          <w:p>
            <w:r>
              <w:rPr>
                <w:b/>
                <w:sz w:val="13"/>
              </w:rPr>
              <w:t>Variant</w:t>
            </w:r>
          </w:p>
        </w:tc>
        <w:tc>
          <w:tcPr>
            <w:tcW w:type="dxa" w:w="769"/>
          </w:tcPr>
          <w:p>
            <w:r>
              <w:rPr>
                <w:b/>
                <w:sz w:val="13"/>
              </w:rPr>
              <w:t>Clinical annotation</w:t>
            </w:r>
          </w:p>
        </w:tc>
        <w:tc>
          <w:tcPr>
            <w:tcW w:type="dxa" w:w="769"/>
          </w:tcPr>
          <w:p>
            <w:r>
              <w:rPr>
                <w:b/>
                <w:sz w:val="13"/>
              </w:rPr>
              <w:t>Expected mechanism</w:t>
            </w:r>
          </w:p>
        </w:tc>
        <w:tc>
          <w:tcPr>
            <w:tcW w:type="dxa" w:w="769"/>
          </w:tcPr>
          <w:p>
            <w:r>
              <w:rPr>
                <w:b/>
                <w:sz w:val="13"/>
              </w:rPr>
              <w:t>Structural tier</w:t>
            </w:r>
          </w:p>
        </w:tc>
        <w:tc>
          <w:tcPr>
            <w:tcW w:type="dxa" w:w="769"/>
          </w:tcPr>
          <w:p>
            <w:r>
              <w:rPr>
                <w:b/>
                <w:sz w:val="13"/>
              </w:rPr>
              <w:t>COMAVI agreement (t=2.5)</w:t>
            </w:r>
          </w:p>
        </w:tc>
        <w:tc>
          <w:tcPr>
            <w:tcW w:type="dxa" w:w="769"/>
          </w:tcPr>
          <w:p>
            <w:r>
              <w:rPr>
                <w:b/>
                <w:sz w:val="13"/>
              </w:rPr>
              <w:t>Committed axes</w:t>
            </w:r>
          </w:p>
        </w:tc>
        <w:tc>
          <w:tcPr>
            <w:tcW w:type="dxa" w:w="769"/>
          </w:tcPr>
          <w:p>
            <w:r>
              <w:rPr>
                <w:b/>
                <w:sz w:val="13"/>
              </w:rPr>
              <w:t>Evidence class</w:t>
            </w:r>
          </w:p>
        </w:tc>
        <w:tc>
          <w:tcPr>
            <w:tcW w:type="dxa" w:w="769"/>
          </w:tcPr>
          <w:p>
            <w:r>
              <w:rPr>
                <w:b/>
                <w:sz w:val="13"/>
              </w:rPr>
              <w:t>Evidence basis</w:t>
            </w:r>
          </w:p>
        </w:tc>
        <w:tc>
          <w:tcPr>
            <w:tcW w:type="dxa" w:w="769"/>
          </w:tcPr>
          <w:p>
            <w:r>
              <w:rPr>
                <w:b/>
                <w:sz w:val="13"/>
              </w:rPr>
              <w:t>Citation</w:t>
            </w:r>
          </w:p>
        </w:tc>
        <w:tc>
          <w:tcPr>
            <w:tcW w:type="dxa" w:w="769"/>
          </w:tcPr>
          <w:p>
            <w:r>
              <w:rPr>
                <w:b/>
                <w:sz w:val="13"/>
              </w:rPr>
              <w:t>Measured DDG (kcal/mol)</w:t>
            </w:r>
          </w:p>
        </w:tc>
        <w:tc>
          <w:tcPr>
            <w:tcW w:type="dxa" w:w="769"/>
          </w:tcPr>
          <w:p>
            <w:r>
              <w:rPr>
                <w:b/>
                <w:sz w:val="13"/>
              </w:rPr>
              <w:t>Structure</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A1843P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+4.89 kcal/mol</w:t>
            </w:r>
          </w:p>
        </w:tc>
        <w:tc>
          <w:tcPr>
            <w:tcW w:type="dxa" w:w="769"/>
          </w:tcPr>
          <w:p>
            <w:r>
              <w:rPr>
                <w:sz w:val="13"/>
              </w:rPr>
              <w:t>Rowling, Cook &amp; Itzhaki 2010 JBC 285:20080 (PMID 20452977; PMC2888420), Table S1 therein</w:t>
            </w:r>
          </w:p>
        </w:tc>
        <w:tc>
          <w:tcPr>
            <w:tcW w:type="dxa" w:w="769"/>
          </w:tcPr>
          <w:p>
            <w:r>
              <w:rPr>
                <w:sz w:val="13"/>
              </w:rPr>
              <w:t>4.89</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L1664P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+1.18 kcal/mol</w:t>
            </w:r>
          </w:p>
        </w:tc>
        <w:tc>
          <w:tcPr>
            <w:tcW w:type="dxa" w:w="769"/>
          </w:tcPr>
          <w:p>
            <w:r>
              <w:rPr>
                <w:sz w:val="13"/>
              </w:rPr>
              <w:t>Rowling, Cook &amp; Itzhaki 2010 JBC 285:20080 (PMID 20452977; PMC2888420), Table S1 therein</w:t>
            </w:r>
          </w:p>
        </w:tc>
        <w:tc>
          <w:tcPr>
            <w:tcW w:type="dxa" w:w="769"/>
          </w:tcPr>
          <w:p>
            <w:r>
              <w:rPr>
                <w:sz w:val="13"/>
              </w:rPr>
              <w:t>1.18</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M1663K</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-0.03 kcal/mol</w:t>
            </w:r>
          </w:p>
        </w:tc>
        <w:tc>
          <w:tcPr>
            <w:tcW w:type="dxa" w:w="769"/>
          </w:tcPr>
          <w:p>
            <w:r>
              <w:rPr>
                <w:sz w:val="13"/>
              </w:rPr>
              <w:t>Rowling, Cook &amp; Itzhaki 2010 JBC 285:20080 (PMID 20452977; PMC2888420), Table S1 therein</w:t>
            </w:r>
          </w:p>
        </w:tc>
        <w:tc>
          <w:tcPr>
            <w:tcW w:type="dxa" w:w="769"/>
          </w:tcPr>
          <w:p>
            <w:r>
              <w:rPr>
                <w:sz w:val="13"/>
              </w:rPr>
              <w:t>-0.03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M1783T</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+3.73 kcal/mol</w:t>
            </w:r>
          </w:p>
        </w:tc>
        <w:tc>
          <w:tcPr>
            <w:tcW w:type="dxa" w:w="769"/>
          </w:tcPr>
          <w:p>
            <w:r>
              <w:rPr>
                <w:sz w:val="13"/>
              </w:rPr>
              <w:t>Rowling, Cook &amp; Itzhaki 2010 JBC 285:20080 (PMID 20452977; PMC2888420), Table S1 therein</w:t>
            </w:r>
          </w:p>
        </w:tc>
        <w:tc>
          <w:tcPr>
            <w:tcW w:type="dxa" w:w="769"/>
          </w:tcPr>
          <w:p>
            <w:r>
              <w:rPr>
                <w:sz w:val="13"/>
              </w:rPr>
              <w:t>3.73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P1806A</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+0.06 kcal/mol</w:t>
            </w:r>
          </w:p>
        </w:tc>
        <w:tc>
          <w:tcPr>
            <w:tcW w:type="dxa" w:w="769"/>
          </w:tcPr>
          <w:p>
            <w:r>
              <w:rPr>
                <w:sz w:val="13"/>
              </w:rPr>
              <w:t>Rowling, Cook &amp; Itzhaki 2010 JBC 285:20080 (PMID 20452977; PMC2888420), Table S1 therein</w:t>
            </w:r>
          </w:p>
        </w:tc>
        <w:tc>
          <w:tcPr>
            <w:tcW w:type="dxa" w:w="769"/>
          </w:tcPr>
          <w:p>
            <w:r>
              <w:rPr>
                <w:sz w:val="13"/>
              </w:rPr>
              <w:t>0.06</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R1699L</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-0.99 kcal/mol</w:t>
            </w:r>
          </w:p>
        </w:tc>
        <w:tc>
          <w:tcPr>
            <w:tcW w:type="dxa" w:w="769"/>
          </w:tcPr>
          <w:p>
            <w:r>
              <w:rPr>
                <w:sz w:val="13"/>
              </w:rPr>
              <w:t>Rowling, Cook &amp; Itzhaki 2010 JBC 285:20080 (PMID 20452977; PMC2888420), Table S1 therein</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R1699Q</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-1.83 kcal/mol</w:t>
            </w:r>
          </w:p>
        </w:tc>
        <w:tc>
          <w:tcPr>
            <w:tcW w:type="dxa" w:w="769"/>
          </w:tcPr>
          <w:p>
            <w:r>
              <w:rPr>
                <w:sz w:val="13"/>
              </w:rPr>
              <w:t>Rowling, Cook &amp; Itzhaki 2010 JBC 285:20080 (PMID 20452977; PMC2888420), Table S1 therein</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R1751Q</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+1.57 kcal/mol</w:t>
            </w:r>
          </w:p>
        </w:tc>
        <w:tc>
          <w:tcPr>
            <w:tcW w:type="dxa" w:w="769"/>
          </w:tcPr>
          <w:p>
            <w:r>
              <w:rPr>
                <w:sz w:val="13"/>
              </w:rPr>
              <w:t>Rowling, Cook &amp; Itzhaki 2010 JBC 285:20080 (PMID 20452977; PMC2888420), Table S1 therein</w:t>
            </w:r>
          </w:p>
        </w:tc>
        <w:tc>
          <w:tcPr>
            <w:tcW w:type="dxa" w:w="769"/>
          </w:tcPr>
          <w:p>
            <w:r>
              <w:rPr>
                <w:sz w:val="13"/>
              </w:rPr>
              <w:t>1.57</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V1665M</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+2.22 kcal/mol</w:t>
            </w:r>
          </w:p>
        </w:tc>
        <w:tc>
          <w:tcPr>
            <w:tcW w:type="dxa" w:w="769"/>
          </w:tcPr>
          <w:p>
            <w:r>
              <w:rPr>
                <w:sz w:val="13"/>
              </w:rPr>
              <w:t>Rowling, Cook &amp; Itzhaki 2010 JBC 285:20080 (PMID 20452977; PMC2888420), Table S1 therein</w:t>
            </w:r>
          </w:p>
        </w:tc>
        <w:tc>
          <w:tcPr>
            <w:tcW w:type="dxa" w:w="769"/>
          </w:tcPr>
          <w:p>
            <w:r>
              <w:rPr>
                <w:sz w:val="13"/>
              </w:rPr>
              <w:t>2.22</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V1736A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+4.20 kcal/mol</w:t>
            </w:r>
          </w:p>
        </w:tc>
        <w:tc>
          <w:tcPr>
            <w:tcW w:type="dxa" w:w="769"/>
          </w:tcPr>
          <w:p>
            <w:r>
              <w:rPr>
                <w:sz w:val="13"/>
              </w:rPr>
              <w:t>Rowling, Cook &amp; Itzhaki 2010 JBC 285:20080 (PMID 20452977; PMC2888420), Table S1 therein</w:t>
            </w:r>
          </w:p>
        </w:tc>
        <w:tc>
          <w:tcPr>
            <w:tcW w:type="dxa" w:w="769"/>
          </w:tcPr>
          <w:p>
            <w:r>
              <w:rPr>
                <w:sz w:val="13"/>
              </w:rPr>
              <w:t>4.20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V1808A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+2.40 kcal/mol</w:t>
            </w:r>
          </w:p>
        </w:tc>
        <w:tc>
          <w:tcPr>
            <w:tcW w:type="dxa" w:w="769"/>
          </w:tcPr>
          <w:p>
            <w:r>
              <w:rPr>
                <w:sz w:val="13"/>
              </w:rPr>
              <w:t>Rowling, Cook &amp; Itzhaki 2010 JBC 285:20080 (PMID 20452977; PMC2888420), Table S1 therein</w:t>
            </w:r>
          </w:p>
        </w:tc>
        <w:tc>
          <w:tcPr>
            <w:tcW w:type="dxa" w:w="769"/>
          </w:tcPr>
          <w:p>
            <w:r>
              <w:rPr>
                <w:sz w:val="13"/>
              </w:rPr>
              <w:t>2.40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Y1853C</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+6.04 kcal/mol</w:t>
            </w:r>
          </w:p>
        </w:tc>
        <w:tc>
          <w:tcPr>
            <w:tcW w:type="dxa" w:w="769"/>
          </w:tcPr>
          <w:p>
            <w:r>
              <w:rPr>
                <w:sz w:val="13"/>
              </w:rPr>
              <w:t>Rowling, Cook &amp; Itzhaki 2010 JBC 285:20080 (PMID 20452977; PMC2888420), Table S1 therein</w:t>
            </w:r>
          </w:p>
        </w:tc>
        <w:tc>
          <w:tcPr>
            <w:tcW w:type="dxa" w:w="769"/>
          </w:tcPr>
          <w:p>
            <w:r>
              <w:rPr>
                <w:sz w:val="13"/>
              </w:rPr>
              <w:t>6.04</w:t>
            </w:r>
          </w:p>
        </w:tc>
        <w:tc>
          <w:tcPr>
            <w:tcW w:type="dxa" w:w="769"/>
          </w:tcPr>
          <w:p>
            <w:r>
              <w:rPr>
                <w:sz w:val="13"/>
              </w:rPr>
              <w:t>1JNX.pdb</w:t>
            </w:r>
          </w:p>
        </w:tc>
      </w:tr>
      <w:tr>
        <w:tc>
          <w:tcPr>
            <w:tcW w:type="dxa" w:w="769"/>
          </w:tcPr>
          <w:p>
            <w:r>
              <w:rPr>
                <w:sz w:val="13"/>
              </w:rPr>
              <w:t>BRCA1-BARD1 RING heterodimer</w:t>
            </w:r>
          </w:p>
        </w:tc>
        <w:tc>
          <w:tcPr>
            <w:tcW w:type="dxa" w:w="769"/>
          </w:tcPr>
          <w:p>
            <w:r>
              <w:rPr>
                <w:sz w:val="13"/>
              </w:rPr>
              <w:t>brca1</w:t>
            </w:r>
          </w:p>
        </w:tc>
        <w:tc>
          <w:tcPr>
            <w:tcW w:type="dxa" w:w="769"/>
          </w:tcPr>
          <w:p>
            <w:r>
              <w:rPr>
                <w:sz w:val="13"/>
              </w:rPr>
              <w:t>C61G</w:t>
            </w:r>
          </w:p>
        </w:tc>
        <w:tc>
          <w:tcPr>
            <w:tcW w:type="dxa" w:w="769"/>
          </w:tcPr>
          <w:p>
            <w:r>
              <w:rPr>
                <w:sz w:val="13"/>
              </w:rPr>
              <w:t>Pathogenic</w:t>
            </w:r>
          </w:p>
        </w:tc>
        <w:tc>
          <w:tcPr>
            <w:tcW w:type="dxa" w:w="769"/>
          </w:tcPr>
          <w:p>
            <w:r>
              <w:rPr>
                <w:sz w:val="13"/>
              </w:rPr>
              <w:t>Fold destabilisation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E3</w:t>
            </w:r>
          </w:p>
        </w:tc>
        <w:tc>
          <w:tcPr>
            <w:tcW w:type="dxa" w:w="769"/>
          </w:tcPr>
          <w:p>
            <w:r>
              <w:rPr>
                <w:sz w:val="13"/>
              </w:rPr>
              <w:t>BARD1 binding preserved despite fold loss; RING heterodimer fold disrupted by Zn-coordination loss; C61 is a Zn-coordinating ligand; RING fold lost on Zn release</w:t>
            </w:r>
          </w:p>
        </w:tc>
        <w:tc>
          <w:tcPr>
            <w:tcW w:type="dxa" w:w="769"/>
          </w:tcPr>
          <w:p>
            <w:r>
              <w:rPr>
                <w:sz w:val="13"/>
              </w:rPr>
              <w:t>Brzovic 1998 JBC 273:7795 (PMID 9520298); Roehm &amp; Berg 1997 Biochemistry 36:10240</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E100Q</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K45R</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V11G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Moderate BARD1 binding loss by two-hybrid</w:t>
            </w:r>
          </w:p>
        </w:tc>
        <w:tc>
          <w:tcPr>
            <w:tcW w:type="dxa" w:w="769"/>
          </w:tcPr>
          <w:p>
            <w:r>
              <w:rPr>
                <w:sz w:val="13"/>
              </w:rPr>
              <w:t>Clark 2022 (mammalian two-hybrid)</w:t>
            </w:r>
          </w:p>
        </w:tc>
        <w:tc>
          <w:tcPr>
            <w:tcW w:type="dxa" w:w="769"/>
          </w:tcPr>
          <w:p>
            <w:r>
              <w:rPr>
                <w:sz w:val="13"/>
              </w:rPr>
              <w:t>-</w:t>
            </w:r>
          </w:p>
        </w:tc>
        <w:tc>
          <w:tcPr>
            <w:tcW w:type="dxa" w:w="769"/>
          </w:tcPr>
          <w:p>
            <w:r>
              <w:rPr>
                <w:sz w:val="13"/>
              </w:rPr>
              <w:t>1JM7.pdb</w:t>
            </w:r>
          </w:p>
        </w:tc>
      </w:tr>
      <w:tr>
        <w:tc>
          <w:tcPr>
            <w:tcW w:type="dxa" w:w="769"/>
          </w:tcPr>
          <w:p>
            <w:r>
              <w:rPr>
                <w:sz w:val="13"/>
              </w:rPr>
              <w:t>Calmodulin-Ca(v)1.2 IQ domain</w:t>
            </w:r>
          </w:p>
        </w:tc>
        <w:tc>
          <w:tcPr>
            <w:tcW w:type="dxa" w:w="769"/>
          </w:tcPr>
          <w:p>
            <w:r>
              <w:rPr>
                <w:sz w:val="13"/>
              </w:rPr>
              <w:t>calm1</w:t>
            </w:r>
          </w:p>
        </w:tc>
        <w:tc>
          <w:tcPr>
            <w:tcW w:type="dxa" w:w="769"/>
          </w:tcPr>
          <w:p>
            <w:r>
              <w:rPr>
                <w:sz w:val="13"/>
              </w:rPr>
              <w:t>D96V</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F142L</w:t>
            </w:r>
          </w:p>
        </w:tc>
        <w:tc>
          <w:tcPr>
            <w:tcW w:type="dxa" w:w="769"/>
          </w:tcPr>
          <w:p>
            <w:r>
              <w:rPr>
                <w:sz w:val="13"/>
              </w:rPr>
              <w:t>Pathogenic</w:t>
            </w:r>
          </w:p>
        </w:tc>
        <w:tc>
          <w:tcPr>
            <w:tcW w:type="dxa" w:w="769"/>
          </w:tcPr>
          <w:p>
            <w:r>
              <w:rPr>
                <w:sz w:val="13"/>
              </w:rPr>
              <w:t>No modeled lesion</w:t>
            </w:r>
          </w:p>
        </w:tc>
        <w:tc>
          <w:tcPr>
            <w:tcW w:type="dxa" w:w="769"/>
          </w:tcPr>
          <w:p>
            <w:r>
              <w:rPr>
                <w:sz w:val="13"/>
              </w:rPr>
              <w:t>Tier 1</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N98S</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Complement factor H-C3b</w:t>
            </w:r>
          </w:p>
        </w:tc>
        <w:tc>
          <w:tcPr>
            <w:tcW w:type="dxa" w:w="769"/>
          </w:tcPr>
          <w:p>
            <w:r>
              <w:rPr>
                <w:sz w:val="13"/>
              </w:rPr>
              <w:t>cfh</w:t>
            </w:r>
          </w:p>
        </w:tc>
        <w:tc>
          <w:tcPr>
            <w:tcW w:type="dxa" w:w="769"/>
          </w:tcPr>
          <w:p>
            <w:r>
              <w:rPr>
                <w:sz w:val="13"/>
              </w:rPr>
              <w:t>I62V</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10-14 uM, WT-like;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R53H</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~12 uM, comparable to WT;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R78G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E1/E3/E5</w:t>
            </w:r>
          </w:p>
        </w:tc>
        <w:tc>
          <w:tcPr>
            <w:tcW w:type="dxa" w:w="769"/>
          </w:tcPr>
          <w:p>
            <w:r>
              <w:rPr>
                <w:sz w:val="13"/>
              </w:rPr>
              <w:t>SPR K_D &gt; 35 uM (binding effectively abolished);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Haemoglobin alpha-beta dimer</w:t>
            </w:r>
          </w:p>
        </w:tc>
        <w:tc>
          <w:tcPr>
            <w:tcW w:type="dxa" w:w="769"/>
          </w:tcPr>
          <w:p>
            <w:r>
              <w:rPr>
                <w:sz w:val="13"/>
              </w:rPr>
              <w:t>hbb</w:t>
            </w:r>
          </w:p>
        </w:tc>
        <w:tc>
          <w:tcPr>
            <w:tcW w:type="dxa" w:w="769"/>
          </w:tcPr>
          <w:p>
            <w:r>
              <w:rPr>
                <w:sz w:val="13"/>
              </w:rPr>
              <w:t>E6V</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w:t>
            </w:r>
          </w:p>
        </w:tc>
        <w:tc>
          <w:tcPr>
            <w:tcW w:type="dxa" w:w="769"/>
          </w:tcPr>
          <w:p>
            <w:r>
              <w:rPr>
                <w:sz w:val="13"/>
              </w:rPr>
              <w:t>HbS assembles normally -- pathogenicity arises from deoxy-state polymerization at a surface patch, not from alpha1-beta1 interface disruption; Native tetramer; assembly unaffected; Native beta-subunit</w:t>
            </w:r>
          </w:p>
        </w:tc>
        <w:tc>
          <w:tcPr>
            <w:tcW w:type="dxa" w:w="769"/>
          </w:tcPr>
          <w:p>
            <w:r>
              <w:rPr>
                <w:sz w:val="13"/>
              </w:rPr>
              <w:t>Eaton &amp; Hofrichter 1990 (HbS polymerization)</w:t>
            </w:r>
          </w:p>
        </w:tc>
        <w:tc>
          <w:tcPr>
            <w:tcW w:type="dxa" w:w="769"/>
          </w:tcPr>
          <w:p>
            <w:r>
              <w:rPr>
                <w:sz w:val="13"/>
              </w:rPr>
              <w:t>-</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N102T</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Hb Kansas: alpha1-beta2 H-bond loss, reduced tetramer assembly energy (~1.5 kcal/mol); Coupled reading of the same assembly measurement</w:t>
            </w:r>
          </w:p>
        </w:tc>
        <w:tc>
          <w:tcPr>
            <w:tcW w:type="dxa" w:w="769"/>
          </w:tcPr>
          <w:p>
            <w:r>
              <w:rPr>
                <w:sz w:val="13"/>
              </w:rPr>
              <w:t>Bonaventura &amp; Riggs 1968 JBC (Hb Kansas)</w:t>
            </w:r>
          </w:p>
        </w:tc>
        <w:tc>
          <w:tcPr>
            <w:tcW w:type="dxa" w:w="769"/>
          </w:tcPr>
          <w:p>
            <w:r>
              <w:rPr>
                <w:sz w:val="13"/>
              </w:rPr>
              <w:t>1.50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W37A</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+5.0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5.00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W37E</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+9.0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9.00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W37G</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+7.0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7.00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W37Y</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+2.0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2.00</w:t>
            </w:r>
          </w:p>
        </w:tc>
        <w:tc>
          <w:tcPr>
            <w:tcW w:type="dxa" w:w="769"/>
          </w:tcPr>
          <w:p>
            <w:r>
              <w:rPr>
                <w:sz w:val="13"/>
              </w:rPr>
              <w:t>2HHB.pdb</w:t>
            </w:r>
          </w:p>
        </w:tc>
      </w:tr>
      <w:tr>
        <w:tc>
          <w:tcPr>
            <w:tcW w:type="dxa" w:w="769"/>
          </w:tcPr>
          <w:p>
            <w:r>
              <w:rPr>
                <w:sz w:val="13"/>
              </w:rPr>
              <w:t>KRAS-CRAF RBD</w:t>
            </w:r>
          </w:p>
        </w:tc>
        <w:tc>
          <w:tcPr>
            <w:tcW w:type="dxa" w:w="769"/>
          </w:tcPr>
          <w:p>
            <w:r>
              <w:rPr>
                <w:sz w:val="13"/>
              </w:rPr>
              <w:t>kras</w:t>
            </w:r>
          </w:p>
        </w:tc>
        <w:tc>
          <w:tcPr>
            <w:tcW w:type="dxa" w:w="769"/>
          </w:tcPr>
          <w:p>
            <w:r>
              <w:rPr>
                <w:sz w:val="13"/>
              </w:rPr>
              <w:t>G12D</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 G12 is 13.6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G12V</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Q61H</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Preserved RAF binding; switch-II hydrolysis defect. Q61 is 11.1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MLH1-PMS2 C-terminal heterodimer</w:t>
            </w:r>
          </w:p>
        </w:tc>
        <w:tc>
          <w:tcPr>
            <w:tcW w:type="dxa" w:w="769"/>
          </w:tcPr>
          <w:p>
            <w:r>
              <w:rPr>
                <w:sz w:val="13"/>
              </w:rPr>
              <w:t>pms2</w:t>
            </w:r>
          </w:p>
        </w:tc>
        <w:tc>
          <w:tcPr>
            <w:tcW w:type="dxa" w:w="769"/>
          </w:tcPr>
          <w:p>
            <w:r>
              <w:rPr>
                <w:sz w:val="13"/>
              </w:rPr>
              <w:t>G857A</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gnomAD AF 28%; ClinVar BA1 stand-alone benign</w:t>
            </w:r>
          </w:p>
        </w:tc>
        <w:tc>
          <w:tcPr>
            <w:tcW w:type="dxa" w:w="769"/>
          </w:tcPr>
          <w:p>
            <w:r>
              <w:rPr>
                <w:sz w:val="13"/>
              </w:rPr>
              <w:t>gnomAD; ClinVar BA1</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H718Y</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w:t>
            </w:r>
          </w:p>
        </w:tc>
        <w:tc>
          <w:tcPr>
            <w:tcW w:type="dxa" w:w="769"/>
          </w:tcPr>
          <w:p>
            <w:r>
              <w:rPr>
                <w:sz w:val="13"/>
              </w:rPr>
              <w:t>E2/E5</w:t>
            </w:r>
          </w:p>
        </w:tc>
        <w:tc>
          <w:tcPr>
            <w:tcW w:type="dxa" w:w="769"/>
          </w:tcPr>
          <w:p>
            <w:r>
              <w:rPr>
                <w:sz w:val="13"/>
              </w:rPr>
              <w:t>Proficient MMR implies the MLH1-PMS2 interaction survived; No assembly-context stability measurement; token inferred from the intact monomer fold</w:t>
            </w:r>
          </w:p>
        </w:tc>
        <w:tc>
          <w:tcPr>
            <w:tcW w:type="dxa" w:w="769"/>
          </w:tcPr>
          <w:p>
            <w:r>
              <w:rPr>
                <w:sz w:val="13"/>
              </w:rPr>
              <w:t>Raevaara 2005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K618E</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Non-damaging in functional assay</w:t>
            </w:r>
          </w:p>
        </w:tc>
        <w:tc>
          <w:tcPr>
            <w:tcW w:type="dxa" w:w="769"/>
          </w:tcPr>
          <w:p>
            <w:r>
              <w:rPr>
                <w:sz w:val="13"/>
              </w:rPr>
              <w:t>Drost 2019 (functional assay)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L749P</w:t>
            </w:r>
          </w:p>
        </w:tc>
        <w:tc>
          <w:tcPr>
            <w:tcW w:type="dxa" w:w="769"/>
          </w:tcPr>
          <w:p>
            <w:r>
              <w:rPr>
                <w:sz w:val="13"/>
              </w:rPr>
              <w:t>Pathogenic</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30%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Q542L</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54%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R755W</w:t>
            </w:r>
          </w:p>
        </w:tc>
        <w:tc>
          <w:tcPr>
            <w:tcW w:type="dxa" w:w="769"/>
          </w:tcPr>
          <w:p>
            <w:r>
              <w:rPr>
                <w:sz w:val="13"/>
              </w:rPr>
              <w:t>Pathogenic</w:t>
            </w:r>
          </w:p>
        </w:tc>
        <w:tc>
          <w:tcPr>
            <w:tcW w:type="dxa" w:w="769"/>
          </w:tcPr>
          <w:p>
            <w:r>
              <w:rPr>
                <w:sz w:val="13"/>
              </w:rPr>
              <w:t>Fold destabilisation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E2</w:t>
            </w:r>
          </w:p>
        </w:tc>
        <w:tc>
          <w:tcPr>
            <w:tcW w:type="dxa" w:w="769"/>
          </w:tcPr>
          <w:p>
            <w:r>
              <w:rPr>
                <w:sz w:val="13"/>
              </w:rPr>
              <w:t>MAVE interaction score +0.617; PMS2 co-IP 82% -- binding preserved; MAVE abundance score -0.334: reduced cellular abundance</w:t>
            </w:r>
          </w:p>
        </w:tc>
        <w:tc>
          <w:tcPr>
            <w:tcW w:type="dxa" w:w="769"/>
          </w:tcPr>
          <w:p>
            <w:r>
              <w:rPr>
                <w:sz w:val="13"/>
              </w:rPr>
              <w:t>MAVE abundance/interaction scores; Kosinski 2010 co-IP</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V384D</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Reclassified non-pathogenic; MMR-proficient; No assembly-context stability measurement; token inferred from the intact monomer fold; No subunit-stability assay; token inferred</w:t>
            </w:r>
          </w:p>
        </w:tc>
        <w:tc>
          <w:tcPr>
            <w:tcW w:type="dxa" w:w="769"/>
          </w:tcPr>
          <w:p>
            <w:r>
              <w:rPr>
                <w:sz w:val="13"/>
              </w:rPr>
              <w:t>InSiGHT expert-panel reclassification; rs63750447 AF ~8.9% EAS</w:t>
            </w:r>
          </w:p>
        </w:tc>
        <w:tc>
          <w:tcPr>
            <w:tcW w:type="dxa" w:w="769"/>
          </w:tcPr>
          <w:p>
            <w:r>
              <w:rPr>
                <w:sz w:val="13"/>
              </w:rPr>
              <w:t>-</w:t>
            </w:r>
          </w:p>
        </w:tc>
        <w:tc>
          <w:tcPr>
            <w:tcW w:type="dxa" w:w="769"/>
          </w:tcPr>
          <w:p>
            <w:r>
              <w:rPr>
                <w:sz w:val="13"/>
              </w:rPr>
              <w:t>fold_mlh1_pms2_model_0.pdb</w:t>
            </w:r>
          </w:p>
        </w:tc>
      </w:tr>
      <w:tr>
        <w:tc>
          <w:tcPr>
            <w:tcW w:type="dxa" w:w="769"/>
          </w:tcPr>
          <w:p>
            <w:r>
              <w:rPr>
                <w:sz w:val="13"/>
              </w:rPr>
              <w:t>MSH2-MSH6 heterodimer</w:t>
            </w:r>
          </w:p>
        </w:tc>
        <w:tc>
          <w:tcPr>
            <w:tcW w:type="dxa" w:w="769"/>
          </w:tcPr>
          <w:p>
            <w:r>
              <w:rPr>
                <w:sz w:val="13"/>
              </w:rPr>
              <w:t>msh2</w:t>
            </w:r>
          </w:p>
        </w:tc>
        <w:tc>
          <w:tcPr>
            <w:tcW w:type="dxa" w:w="769"/>
          </w:tcPr>
          <w:p>
            <w:r>
              <w:rPr>
                <w:sz w:val="13"/>
              </w:rPr>
              <w:t>A636P</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 fold_complex, monomer</w:t>
            </w:r>
          </w:p>
        </w:tc>
        <w:tc>
          <w:tcPr>
            <w:tcW w:type="dxa" w:w="769"/>
          </w:tcPr>
          <w:p>
            <w:r>
              <w:rPr>
                <w:sz w:val="13"/>
              </w:rPr>
              <w:t>E3</w:t>
            </w:r>
          </w:p>
        </w:tc>
        <w:tc>
          <w:tcPr>
            <w:tcW w:type="dxa" w:w="769"/>
          </w:tcPr>
          <w:p>
            <w:r>
              <w:rPr>
                <w:sz w:val="13"/>
              </w:rPr>
              <w:t>MSH2-MSH6 interaction intact; ATPase mismatch binding/release defect; MSH2 expression/stability preserved; ATPase mismatch binding/release defect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C697F</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ATPase catalytic defect, protein stable, interaction intact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G322D</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MMR-proficient with interaction intact; gnomAD ~1.9%</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G674R</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MSH6 binding preserved by co-IP; MMR lost via Walker-A ATPase defect</w:t>
            </w:r>
          </w:p>
        </w:tc>
        <w:tc>
          <w:tcPr>
            <w:tcW w:type="dxa" w:w="769"/>
          </w:tcPr>
          <w:p>
            <w:r>
              <w:rPr>
                <w:sz w:val="13"/>
              </w:rPr>
              <w:t>Jia 2021</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N127S</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MSH6 IP, bandshift and MMR all WT-like</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E542K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E545K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inconsistent</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H1047R</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Kinase C-lobe gain of function with p85 binding structurally unaffected; No assembly-context stability measurement; token inferred from the intact monomer fold; No subunit-stability assay; token infer</w:t>
            </w:r>
          </w:p>
        </w:tc>
        <w:tc>
          <w:tcPr>
            <w:tcW w:type="dxa" w:w="769"/>
          </w:tcPr>
          <w:p>
            <w:r>
              <w:rPr>
                <w:sz w:val="13"/>
              </w:rPr>
              <w:t>Mandelker 2009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M326I</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rs3730089, gnomAD MAF &gt; 10%: benign by frequency alone</w:t>
            </w:r>
          </w:p>
        </w:tc>
        <w:tc>
          <w:tcPr>
            <w:tcW w:type="dxa" w:w="769"/>
          </w:tcPr>
          <w:p>
            <w:r>
              <w:rPr>
                <w:sz w:val="13"/>
              </w:rPr>
              <w:t>gnomAD (rs3730089)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N564D</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E3/E5</w:t>
            </w:r>
          </w:p>
        </w:tc>
        <w:tc>
          <w:tcPr>
            <w:tcW w:type="dxa" w:w="769"/>
          </w:tcPr>
          <w:p>
            <w:r>
              <w:rPr>
                <w:sz w:val="13"/>
              </w:rPr>
              <w:t>Retains p110 binding, loses inhibition -- allosteric, not interface loss; No assembly-context stability measurement; token inferred from the intact monomer fold; No subunit-stability assay; token infe</w:t>
            </w:r>
          </w:p>
        </w:tc>
        <w:tc>
          <w:tcPr>
            <w:tcW w:type="dxa" w:w="769"/>
          </w:tcPr>
          <w:p>
            <w:r>
              <w:rPr>
                <w:sz w:val="13"/>
              </w:rPr>
              <w:t>Wu / Jaiswal 2009</w:t>
            </w:r>
          </w:p>
        </w:tc>
        <w:tc>
          <w:tcPr>
            <w:tcW w:type="dxa" w:w="769"/>
          </w:tcPr>
          <w:p>
            <w:r>
              <w:rPr>
                <w:sz w:val="13"/>
              </w:rPr>
              <w:t>-</w:t>
            </w:r>
          </w:p>
        </w:tc>
        <w:tc>
          <w:tcPr>
            <w:tcW w:type="dxa" w:w="769"/>
          </w:tcPr>
          <w:p>
            <w:r>
              <w:rPr>
                <w:sz w:val="13"/>
              </w:rPr>
              <w:t>fold_pik3ca_pik3r1_model_0.pdb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D351H</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Abolished phospho-Smad2/3 interaction by co-IP</w:t>
            </w:r>
          </w:p>
        </w:tc>
        <w:tc>
          <w:tcPr>
            <w:tcW w:type="dxa" w:w="769"/>
          </w:tcPr>
          <w:p>
            <w:r>
              <w:rPr>
                <w:sz w:val="13"/>
              </w:rPr>
              <w:t>De Bosscher 2004 (co-IP)</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I500T</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I500V</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R361C</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Completely abolished R-Smad interaction</w:t>
            </w:r>
          </w:p>
        </w:tc>
        <w:tc>
          <w:tcPr>
            <w:tcW w:type="dxa" w:w="769"/>
          </w:tcPr>
          <w:p>
            <w:r>
              <w:rPr>
                <w:sz w:val="13"/>
              </w:rPr>
              <w:t>Lanauze 2021 (co-IP)</w:t>
            </w:r>
          </w:p>
        </w:tc>
        <w:tc>
          <w:tcPr>
            <w:tcW w:type="dxa" w:w="769"/>
          </w:tcPr>
          <w:p>
            <w:r>
              <w:rPr>
                <w:sz w:val="13"/>
              </w:rPr>
              <w:t>-</w:t>
            </w:r>
          </w:p>
        </w:tc>
        <w:tc>
          <w:tcPr>
            <w:tcW w:type="dxa" w:w="769"/>
          </w:tcPr>
          <w:p>
            <w:r>
              <w:rPr>
                <w:sz w:val="13"/>
              </w:rPr>
              <w:t>fold_smad4_smad3_model_0.pdb</w:t>
            </w:r>
          </w:p>
        </w:tc>
      </w:tr>
      <w:tr>
        <w:tc>
          <w:tcPr>
            <w:tcW w:type="dxa" w:w="769"/>
          </w:tcPr>
          <w:p>
            <w:r>
              <w:rPr>
                <w:sz w:val="13"/>
              </w:rPr>
              <w:t>Troponin I-troponin C</w:t>
            </w:r>
          </w:p>
        </w:tc>
        <w:tc>
          <w:tcPr>
            <w:tcW w:type="dxa" w:w="769"/>
          </w:tcPr>
          <w:p>
            <w:r>
              <w:rPr>
                <w:sz w:val="13"/>
              </w:rPr>
              <w:t>tnni3</w:t>
            </w:r>
          </w:p>
        </w:tc>
        <w:tc>
          <w:tcPr>
            <w:tcW w:type="dxa" w:w="769"/>
          </w:tcPr>
          <w:p>
            <w:r>
              <w:rPr>
                <w:sz w:val="13"/>
              </w:rPr>
              <w:t>P82S</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AF ~3% African-American: benign by frequency</w:t>
            </w:r>
          </w:p>
        </w:tc>
        <w:tc>
          <w:tcPr>
            <w:tcW w:type="dxa" w:w="769"/>
          </w:tcPr>
          <w:p>
            <w:r>
              <w:rPr>
                <w:sz w:val="13"/>
              </w:rPr>
              <w:t>Frazier 2008; gnomAD</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R145G</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EC50 1.4 uM vs 0.8 uM WT: reduced inhibitory potency, actin affinity unchanged -- interface retained</w:t>
            </w:r>
          </w:p>
        </w:tc>
        <w:tc>
          <w:tcPr>
            <w:tcW w:type="dxa" w:w="769"/>
          </w:tcPr>
          <w:p>
            <w:r>
              <w:rPr>
                <w:sz w:val="13"/>
              </w:rPr>
              <w:t>Elliott 2000 JBC 275:22069; Takahashi / 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R145Q</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Same class as R145G: reduced inhibition, actin affinity unchanged</w:t>
            </w:r>
          </w:p>
        </w:tc>
        <w:tc>
          <w:tcPr>
            <w:tcW w:type="dxa" w:w="769"/>
          </w:tcPr>
          <w:p>
            <w:r>
              <w:rPr>
                <w:sz w:val="13"/>
              </w:rPr>
              <w:t>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R162W</w:t>
            </w:r>
          </w:p>
        </w:tc>
        <w:tc>
          <w:tcPr>
            <w:tcW w:type="dxa" w:w="769"/>
          </w:tcPr>
          <w:p>
            <w:r>
              <w:rPr>
                <w:sz w:val="13"/>
              </w:rPr>
              <w:t>Pathogenic</w:t>
            </w:r>
          </w:p>
        </w:tc>
        <w:tc>
          <w:tcPr>
            <w:tcW w:type="dxa" w:w="769"/>
          </w:tcPr>
          <w:p>
            <w:r>
              <w:rPr>
                <w:sz w:val="13"/>
              </w:rPr>
              <w:t>Interface, magnitude uncommitted</w:t>
            </w:r>
          </w:p>
        </w:tc>
        <w:tc>
          <w:tcPr>
            <w:tcW w:type="dxa" w:w="769"/>
          </w:tcPr>
          <w:p>
            <w:r>
              <w:rPr>
                <w:sz w:val="13"/>
              </w:rPr>
              <w:t>Tier 2</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fold_tnni3_tnnc1_model_0.pdb</w:t>
            </w:r>
          </w:p>
        </w:tc>
      </w:tr>
      <w:tr>
        <w:tc>
          <w:tcPr>
            <w:tcW w:type="dxa" w:w="769"/>
          </w:tcPr>
          <w:p>
            <w:r>
              <w:rPr>
                <w:sz w:val="13"/>
              </w:rPr>
              <w:t>VHL-elongin C</w:t>
            </w:r>
          </w:p>
        </w:tc>
        <w:tc>
          <w:tcPr>
            <w:tcW w:type="dxa" w:w="769"/>
          </w:tcPr>
          <w:p>
            <w:r>
              <w:rPr>
                <w:sz w:val="13"/>
              </w:rPr>
              <w:t>vhl</w:t>
            </w:r>
          </w:p>
        </w:tc>
        <w:tc>
          <w:tcPr>
            <w:tcW w:type="dxa" w:w="769"/>
          </w:tcPr>
          <w:p>
            <w:r>
              <w:rPr>
                <w:sz w:val="13"/>
              </w:rPr>
              <w:t>L158Q</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Disrupts VCB complex assembly</w:t>
            </w:r>
          </w:p>
        </w:tc>
        <w:tc>
          <w:tcPr>
            <w:tcW w:type="dxa" w:w="769"/>
          </w:tcPr>
          <w:p>
            <w:r>
              <w:rPr>
                <w:sz w:val="13"/>
              </w:rPr>
              <w:t>Stebbins 1999 Science</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W117R</w:t>
            </w:r>
          </w:p>
        </w:tc>
        <w:tc>
          <w:tcPr>
            <w:tcW w:type="dxa" w:w="769"/>
          </w:tcPr>
          <w:p>
            <w:r>
              <w:rPr>
                <w:sz w:val="13"/>
              </w:rPr>
              <w:t>Pathogenic</w:t>
            </w:r>
          </w:p>
        </w:tc>
        <w:tc>
          <w:tcPr>
            <w:tcW w:type="dxa" w:w="769"/>
          </w:tcPr>
          <w:p>
            <w:r>
              <w:rPr>
                <w:sz w:val="13"/>
              </w:rPr>
              <w:t>Not committed</w:t>
            </w:r>
          </w:p>
        </w:tc>
        <w:tc>
          <w:tcPr>
            <w:tcW w:type="dxa" w:w="769"/>
          </w:tcPr>
          <w:p>
            <w:r>
              <w:rPr>
                <w:sz w:val="13"/>
              </w:rPr>
              <w:t>Tier 1</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Y98H</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VCB assembly preserved while HIF binding is abolished (beta-domain HIF face, not the ElonginC face)</w:t>
            </w:r>
          </w:p>
        </w:tc>
        <w:tc>
          <w:tcPr>
            <w:tcW w:type="dxa" w:w="769"/>
          </w:tcPr>
          <w:p>
            <w:r>
              <w:rPr>
                <w:sz w:val="13"/>
              </w:rPr>
              <w:t>Ohh 2000</w:t>
            </w:r>
          </w:p>
        </w:tc>
        <w:tc>
          <w:tcPr>
            <w:tcW w:type="dxa" w:w="769"/>
          </w:tcPr>
          <w:p>
            <w:r>
              <w:rPr>
                <w:sz w:val="13"/>
              </w:rPr>
              <w:t>-</w:t>
            </w:r>
          </w:p>
        </w:tc>
        <w:tc>
          <w:tcPr>
            <w:tcW w:type="dxa" w:w="769"/>
          </w:tcPr>
          <w:p>
            <w:r>
              <w:rPr>
                <w:sz w:val="13"/>
              </w:rPr>
              <w:t>fold_vhl_tceb1_model_0.pdb</w:t>
            </w:r>
          </w:p>
        </w:tc>
      </w:tr>
      <w:tr>
        <w:tc>
          <w:tcPr>
            <w:tcW w:type="dxa" w:w="769"/>
          </w:tcPr>
          <w:p>
            <w:r>
              <w:rPr>
                <w:sz w:val="13"/>
              </w:rPr>
              <w:t>VWF A1-GPIb alpha</w:t>
            </w:r>
          </w:p>
        </w:tc>
        <w:tc>
          <w:tcPr>
            <w:tcW w:type="dxa" w:w="769"/>
          </w:tcPr>
          <w:p>
            <w:r>
              <w:rPr>
                <w:sz w:val="13"/>
              </w:rPr>
              <w:t>vwf</w:t>
            </w:r>
          </w:p>
        </w:tc>
        <w:tc>
          <w:tcPr>
            <w:tcW w:type="dxa" w:w="769"/>
          </w:tcPr>
          <w:p>
            <w:r>
              <w:rPr>
                <w:sz w:val="13"/>
              </w:rPr>
              <w:t>A1381T</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E1/E5</w:t>
            </w:r>
          </w:p>
        </w:tc>
        <w:tc>
          <w:tcPr>
            <w:tcW w:type="dxa" w:w="769"/>
          </w:tcPr>
          <w:p>
            <w:r>
              <w:rPr>
                <w:sz w:val="13"/>
              </w:rPr>
              <w:t>Binding-competent by SPR; No assembly-context stability measurement; token inferred from the intact monomer fold; Natively folded, WT-like Tm</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r>
        <w:tc>
          <w:tcPr>
            <w:tcW w:type="dxa" w:w="769"/>
          </w:tcPr>
          <w:p>
            <w:r>
              <w:rPr>
                <w:sz w:val="13"/>
              </w:rPr>
              <w:t>VWF A1-GPIb alpha</w:t>
            </w:r>
          </w:p>
        </w:tc>
        <w:tc>
          <w:tcPr>
            <w:tcW w:type="dxa" w:w="769"/>
          </w:tcPr>
          <w:p>
            <w:r>
              <w:rPr>
                <w:sz w:val="13"/>
              </w:rPr>
              <w:t>vwf</w:t>
            </w:r>
          </w:p>
        </w:tc>
        <w:tc>
          <w:tcPr>
            <w:tcW w:type="dxa" w:w="769"/>
          </w:tcPr>
          <w:p>
            <w:r>
              <w:rPr>
                <w:sz w:val="13"/>
              </w:rPr>
              <w:t>R1334Q</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E1/E5</w:t>
            </w:r>
          </w:p>
        </w:tc>
        <w:tc>
          <w:tcPr>
            <w:tcW w:type="dxa" w:w="769"/>
          </w:tcPr>
          <w:p>
            <w:r>
              <w:rPr>
                <w:sz w:val="13"/>
              </w:rPr>
              <w:t>GPIba binding lost by SPR and shear-flow adhesion; No assembly-context stability measurement; token inferred from the intact monomer fold; Natively folded with modestly reduced Tm -- below the destabi</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bl>
    <w:p w14:paraId="09F7BD40" w14:textId="77777777">
      <w:pPr>
        <w:pStyle w:val="Caption"/>
        <w:keepNext/>
      </w:pPr>
      <w:r>
        <w:t>S2 Table.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632"/>
        <w:gridCol w:w="827"/>
        <w:gridCol w:w="978"/>
        <w:gridCol w:w="1279"/>
        <w:gridCol w:w="4438"/>
      </w:tblGrid>
      <w:tr w14:paraId="135D74E3" w14:textId="77777777">
        <w:trPr>
          <w:cantSplit/>
          <w:tblHeader/>
        </w:trPr>
        <w:tc>
          <w:tcPr>
            <w:tcW w:w="2520" w:type="dxa"/>
            <w:shd w:val="clear" w:color="auto" w:fill="173B59"/>
            <w:tcMar>
              <w:top w:w="60" w:type="dxa"/>
              <w:left w:w="80" w:type="dxa"/>
              <w:bottom w:w="60" w:type="dxa"/>
              <w:right w:w="80" w:type="dxa"/>
            </w:tcMar>
            <w:vAlign w:val="center"/>
          </w:tcPr>
          <w:p w14:paraId="00240783" w14:textId="77777777">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w14:paraId="0140D61B" w14:textId="77777777">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w14:paraId="2F626F0D" w14:textId="77777777">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w14:paraId="6E4B1222" w14:textId="77777777">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w14:paraId="5103A1A7" w14:textId="77777777">
            <w:pPr>
              <w:spacing w:after="0" w:line="240" w:lineRule="auto"/>
            </w:pPr>
            <w:r>
              <w:rPr>
                <w:b/>
                <w:color w:val="FFFFFF"/>
                <w:sz w:val="15"/>
              </w:rPr>
              <w:t>Interpretation</w:t>
            </w:r>
          </w:p>
        </w:tc>
      </w:tr>
      <w:tr w14:paraId="19BEFA22" w14:textId="77777777">
        <w:trPr>
          <w:cantSplit/>
        </w:trPr>
        <w:tc>
          <w:tcPr>
            <w:tcW w:w="2520" w:type="dxa"/>
            <w:tcMar>
              <w:top w:w="60" w:type="dxa"/>
              <w:left w:w="80" w:type="dxa"/>
              <w:bottom w:w="60" w:type="dxa"/>
              <w:right w:w="80" w:type="dxa"/>
            </w:tcMar>
            <w:vAlign w:val="center"/>
          </w:tcPr>
          <w:p w14:paraId="0359ED8E" w14:textId="77777777">
            <w:pPr>
              <w:spacing w:after="0" w:line="240" w:lineRule="auto"/>
            </w:pPr>
            <w:r>
              <w:rPr>
                <w:sz w:val="15"/>
              </w:rPr>
              <w:t>E1 quantitative energetic</w:t>
            </w:r>
          </w:p>
        </w:tc>
        <w:tc>
          <w:tcPr>
            <w:tcW w:w="792" w:type="dxa"/>
            <w:tcMar>
              <w:top w:w="60" w:type="dxa"/>
              <w:left w:w="80" w:type="dxa"/>
              <w:bottom w:w="60" w:type="dxa"/>
              <w:right w:w="80" w:type="dxa"/>
            </w:tcMar>
            <w:vAlign w:val="center"/>
          </w:tcPr>
          <w:p w14:paraId="2BFAFFD5" w14:textId="77777777">
            <w:pPr>
              <w:spacing w:after="0" w:line="240" w:lineRule="auto"/>
            </w:pPr>
            <w:r>
              <w:rPr>
                <w:sz w:val="15"/>
              </w:rPr>
              <w:t>29</w:t>
            </w:r>
          </w:p>
        </w:tc>
        <w:tc>
          <w:tcPr>
            <w:tcW w:w="936" w:type="dxa"/>
            <w:tcMar>
              <w:top w:w="60" w:type="dxa"/>
              <w:left w:w="80" w:type="dxa"/>
              <w:bottom w:w="60" w:type="dxa"/>
              <w:right w:w="80" w:type="dxa"/>
            </w:tcMar>
            <w:vAlign w:val="center"/>
          </w:tcPr>
          <w:p w14:paraId="57355E67" w14:textId="77777777">
            <w:pPr>
              <w:spacing w:after="0" w:line="240" w:lineRule="auto"/>
            </w:pPr>
            <w:r>
              <w:rPr>
                <w:sz w:val="15"/>
              </w:rPr>
              <w:t>8</w:t>
            </w:r>
          </w:p>
        </w:tc>
        <w:tc>
          <w:tcPr>
            <w:tcW w:w="1224" w:type="dxa"/>
            <w:tcMar>
              <w:top w:w="60" w:type="dxa"/>
              <w:left w:w="80" w:type="dxa"/>
              <w:bottom w:w="60" w:type="dxa"/>
              <w:right w:w="80" w:type="dxa"/>
            </w:tcMar>
            <w:vAlign w:val="center"/>
          </w:tcPr>
          <w:p w14:paraId="35736EF5" w14:textId="77777777">
            <w:pPr>
              <w:spacing w:after="0" w:line="240" w:lineRule="auto"/>
            </w:pPr>
            <w:r>
              <w:rPr>
                <w:sz w:val="15"/>
              </w:rPr>
              <w:t>20</w:t>
            </w:r>
          </w:p>
        </w:tc>
        <w:tc>
          <w:tcPr>
            <w:tcW w:w="4248" w:type="dxa"/>
            <w:tcMar>
              <w:top w:w="60" w:type="dxa"/>
              <w:left w:w="80" w:type="dxa"/>
              <w:bottom w:w="60" w:type="dxa"/>
              <w:right w:w="80" w:type="dxa"/>
            </w:tcMar>
            <w:vAlign w:val="center"/>
          </w:tcPr>
          <w:p w14:paraId="2874892B" w14:textId="77777777">
            <w:pPr>
              <w:spacing w:after="0" w:line="240" w:lineRule="auto"/>
            </w:pPr>
            <w:r>
              <w:rPr>
                <w:sz w:val="15"/>
              </w:rPr>
              <w:t>Direct or quantitative energetic evidence; includes one stabilizing expectation. One E1 monomer axis (BRCA1 R1699Q) carries a stabilizing rather than neutral or destabilizing expectation and is not shown in either column, so this row's Neutral and Destabilizing counts sum to 28 of 29.</w:t>
            </w:r>
          </w:p>
        </w:tc>
      </w:tr>
      <w:tr w14:paraId="3C01D5BE" w14:textId="77777777">
        <w:trPr>
          <w:cantSplit/>
        </w:trPr>
        <w:tc>
          <w:tcPr>
            <w:tcW w:w="2520" w:type="dxa"/>
            <w:shd w:val="clear" w:color="auto" w:fill="EEF2F6"/>
            <w:tcMar>
              <w:top w:w="60" w:type="dxa"/>
              <w:left w:w="80" w:type="dxa"/>
              <w:bottom w:w="60" w:type="dxa"/>
              <w:right w:w="80" w:type="dxa"/>
            </w:tcMar>
            <w:vAlign w:val="center"/>
          </w:tcPr>
          <w:p w14:paraId="4E8EB714" w14:textId="77777777">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w14:paraId="5412541B"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5E31617B" w14:textId="77777777">
            <w:pPr>
              <w:spacing w:after="0" w:line="240" w:lineRule="auto"/>
            </w:pPr>
            <w:r>
              <w:rPr>
                <w:sz w:val="15"/>
              </w:rPr>
              <w:t>4</w:t>
            </w:r>
          </w:p>
        </w:tc>
        <w:tc>
          <w:tcPr>
            <w:tcW w:w="1224" w:type="dxa"/>
            <w:shd w:val="clear" w:color="auto" w:fill="EEF2F6"/>
            <w:tcMar>
              <w:top w:w="60" w:type="dxa"/>
              <w:left w:w="80" w:type="dxa"/>
              <w:bottom w:w="60" w:type="dxa"/>
              <w:right w:w="80" w:type="dxa"/>
            </w:tcMar>
            <w:vAlign w:val="center"/>
          </w:tcPr>
          <w:p w14:paraId="27758513" w14:textId="77777777">
            <w:pPr>
              <w:spacing w:after="0" w:line="240" w:lineRule="auto"/>
            </w:pPr>
            <w:r>
              <w:rPr>
                <w:sz w:val="15"/>
              </w:rPr>
              <w:t>5</w:t>
            </w:r>
          </w:p>
        </w:tc>
        <w:tc>
          <w:tcPr>
            <w:tcW w:w="4248" w:type="dxa"/>
            <w:shd w:val="clear" w:color="auto" w:fill="EEF2F6"/>
            <w:tcMar>
              <w:top w:w="60" w:type="dxa"/>
              <w:left w:w="80" w:type="dxa"/>
              <w:bottom w:w="60" w:type="dxa"/>
              <w:right w:w="80" w:type="dxa"/>
            </w:tcMar>
            <w:vAlign w:val="center"/>
          </w:tcPr>
          <w:p w14:paraId="627EF820" w14:textId="77777777">
            <w:pPr>
              <w:spacing w:after="0" w:line="240" w:lineRule="auto"/>
            </w:pPr>
            <w:r>
              <w:rPr>
                <w:sz w:val="15"/>
              </w:rPr>
              <w:t>Quantitative functional readout coupled to the axis.</w:t>
            </w:r>
          </w:p>
        </w:tc>
      </w:tr>
      <w:tr w14:paraId="7B056AE8" w14:textId="77777777">
        <w:trPr>
          <w:cantSplit/>
        </w:trPr>
        <w:tc>
          <w:tcPr>
            <w:tcW w:w="2520" w:type="dxa"/>
            <w:tcMar>
              <w:top w:w="60" w:type="dxa"/>
              <w:left w:w="80" w:type="dxa"/>
              <w:bottom w:w="60" w:type="dxa"/>
              <w:right w:w="80" w:type="dxa"/>
            </w:tcMar>
            <w:vAlign w:val="center"/>
          </w:tcPr>
          <w:p w14:paraId="2D71A601" w14:textId="77777777">
            <w:pPr>
              <w:spacing w:after="0" w:line="240" w:lineRule="auto"/>
            </w:pPr>
            <w:r>
              <w:rPr>
                <w:sz w:val="15"/>
              </w:rPr>
              <w:t>E3 qualitative experimental</w:t>
            </w:r>
          </w:p>
        </w:tc>
        <w:tc>
          <w:tcPr>
            <w:tcW w:w="792" w:type="dxa"/>
            <w:tcMar>
              <w:top w:w="60" w:type="dxa"/>
              <w:left w:w="80" w:type="dxa"/>
              <w:bottom w:w="60" w:type="dxa"/>
              <w:right w:w="80" w:type="dxa"/>
            </w:tcMar>
            <w:vAlign w:val="center"/>
          </w:tcPr>
          <w:p w14:paraId="7BFA2EE1" w14:textId="77777777">
            <w:pPr>
              <w:spacing w:after="0" w:line="240" w:lineRule="auto"/>
            </w:pPr>
            <w:r>
              <w:rPr>
                <w:sz w:val="15"/>
              </w:rPr>
              <w:t>33</w:t>
            </w:r>
          </w:p>
        </w:tc>
        <w:tc>
          <w:tcPr>
            <w:tcW w:w="936" w:type="dxa"/>
            <w:tcMar>
              <w:top w:w="60" w:type="dxa"/>
              <w:left w:w="80" w:type="dxa"/>
              <w:bottom w:w="60" w:type="dxa"/>
              <w:right w:w="80" w:type="dxa"/>
            </w:tcMar>
            <w:vAlign w:val="center"/>
          </w:tcPr>
          <w:p w14:paraId="47E5689F" w14:textId="77777777">
            <w:pPr>
              <w:spacing w:after="0" w:line="240" w:lineRule="auto"/>
            </w:pPr>
            <w:r>
              <w:rPr>
                <w:sz w:val="15"/>
              </w:rPr>
              <w:t>22</w:t>
            </w:r>
          </w:p>
        </w:tc>
        <w:tc>
          <w:tcPr>
            <w:tcW w:w="1224" w:type="dxa"/>
            <w:tcMar>
              <w:top w:w="60" w:type="dxa"/>
              <w:left w:w="80" w:type="dxa"/>
              <w:bottom w:w="60" w:type="dxa"/>
              <w:right w:w="80" w:type="dxa"/>
            </w:tcMar>
            <w:vAlign w:val="center"/>
          </w:tcPr>
          <w:p w14:paraId="46EB7168" w14:textId="77777777">
            <w:pPr>
              <w:spacing w:after="0" w:line="240" w:lineRule="auto"/>
            </w:pPr>
            <w:r>
              <w:rPr>
                <w:sz w:val="15"/>
              </w:rPr>
              <w:t>11</w:t>
            </w:r>
          </w:p>
        </w:tc>
        <w:tc>
          <w:tcPr>
            <w:tcW w:w="4248" w:type="dxa"/>
            <w:tcMar>
              <w:top w:w="60" w:type="dxa"/>
              <w:left w:w="80" w:type="dxa"/>
              <w:bottom w:w="60" w:type="dxa"/>
              <w:right w:w="80" w:type="dxa"/>
            </w:tcMar>
            <w:vAlign w:val="center"/>
          </w:tcPr>
          <w:p w14:paraId="516A6DDC" w14:textId="77777777">
            <w:pPr>
              <w:spacing w:after="0" w:line="240" w:lineRule="auto"/>
            </w:pPr>
            <w:r>
              <w:rPr>
                <w:sz w:val="15"/>
              </w:rPr>
              <w:t>Qualitative experimental evidence; includes the two A636P neutral fold expectations.</w:t>
            </w:r>
          </w:p>
        </w:tc>
      </w:tr>
      <w:tr w14:paraId="67916598" w14:textId="77777777">
        <w:trPr>
          <w:cantSplit/>
        </w:trPr>
        <w:tc>
          <w:tcPr>
            <w:tcW w:w="2520" w:type="dxa"/>
            <w:shd w:val="clear" w:color="auto" w:fill="EEF2F6"/>
            <w:tcMar>
              <w:top w:w="60" w:type="dxa"/>
              <w:left w:w="80" w:type="dxa"/>
              <w:bottom w:w="60" w:type="dxa"/>
              <w:right w:w="80" w:type="dxa"/>
            </w:tcMar>
            <w:vAlign w:val="center"/>
          </w:tcPr>
          <w:p w14:paraId="19E34C41" w14:textId="77777777">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w14:paraId="3FF12AC3"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220249D1" w14:textId="77777777">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w14:paraId="4CD69BA2" w14:textId="77777777">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w14:paraId="601D8558" w14:textId="77777777">
            <w:pPr>
              <w:spacing w:after="0" w:line="240" w:lineRule="auto"/>
            </w:pPr>
            <w:r>
              <w:rPr>
                <w:sz w:val="15"/>
              </w:rPr>
              <w:t>Population-supported neutral expectations.</w:t>
            </w:r>
          </w:p>
        </w:tc>
      </w:tr>
      <w:tr w14:paraId="40042CB4" w14:textId="77777777">
        <w:trPr>
          <w:cantSplit/>
        </w:trPr>
        <w:tc>
          <w:tcPr>
            <w:tcW w:w="2520" w:type="dxa"/>
            <w:tcMar>
              <w:top w:w="60" w:type="dxa"/>
              <w:left w:w="80" w:type="dxa"/>
              <w:bottom w:w="60" w:type="dxa"/>
              <w:right w:w="80" w:type="dxa"/>
            </w:tcMar>
            <w:vAlign w:val="center"/>
          </w:tcPr>
          <w:p w14:paraId="4FF3763F" w14:textId="77777777">
            <w:pPr>
              <w:spacing w:after="0" w:line="240" w:lineRule="auto"/>
            </w:pPr>
            <w:r>
              <w:rPr>
                <w:sz w:val="15"/>
              </w:rPr>
              <w:t>E5 inferred</w:t>
            </w:r>
          </w:p>
        </w:tc>
        <w:tc>
          <w:tcPr>
            <w:tcW w:w="792" w:type="dxa"/>
            <w:tcMar>
              <w:top w:w="60" w:type="dxa"/>
              <w:left w:w="80" w:type="dxa"/>
              <w:bottom w:w="60" w:type="dxa"/>
              <w:right w:w="80" w:type="dxa"/>
            </w:tcMar>
            <w:vAlign w:val="center"/>
          </w:tcPr>
          <w:p w14:paraId="4A0C3CA8" w14:textId="77777777">
            <w:pPr>
              <w:spacing w:after="0" w:line="240" w:lineRule="auto"/>
            </w:pPr>
            <w:r>
              <w:rPr>
                <w:sz w:val="15"/>
              </w:rPr>
              <w:t>18</w:t>
            </w:r>
          </w:p>
        </w:tc>
        <w:tc>
          <w:tcPr>
            <w:tcW w:w="936" w:type="dxa"/>
            <w:tcMar>
              <w:top w:w="60" w:type="dxa"/>
              <w:left w:w="80" w:type="dxa"/>
              <w:bottom w:w="60" w:type="dxa"/>
              <w:right w:w="80" w:type="dxa"/>
            </w:tcMar>
            <w:vAlign w:val="center"/>
          </w:tcPr>
          <w:p w14:paraId="527FD6D7" w14:textId="77777777">
            <w:pPr>
              <w:spacing w:after="0" w:line="240" w:lineRule="auto"/>
            </w:pPr>
            <w:r>
              <w:rPr>
                <w:sz w:val="15"/>
              </w:rPr>
              <w:t>18</w:t>
            </w:r>
          </w:p>
        </w:tc>
        <w:tc>
          <w:tcPr>
            <w:tcW w:w="1224" w:type="dxa"/>
            <w:tcMar>
              <w:top w:w="60" w:type="dxa"/>
              <w:left w:w="80" w:type="dxa"/>
              <w:bottom w:w="60" w:type="dxa"/>
              <w:right w:w="80" w:type="dxa"/>
            </w:tcMar>
            <w:vAlign w:val="center"/>
          </w:tcPr>
          <w:p w14:paraId="0D61DFD5" w14:textId="77777777">
            <w:pPr>
              <w:spacing w:after="0" w:line="240" w:lineRule="auto"/>
            </w:pPr>
            <w:r>
              <w:rPr>
                <w:sz w:val="15"/>
              </w:rPr>
              <w:t>0</w:t>
            </w:r>
          </w:p>
        </w:tc>
        <w:tc>
          <w:tcPr>
            <w:tcW w:w="4248" w:type="dxa"/>
            <w:tcMar>
              <w:top w:w="60" w:type="dxa"/>
              <w:left w:w="80" w:type="dxa"/>
              <w:bottom w:w="60" w:type="dxa"/>
              <w:right w:w="80" w:type="dxa"/>
            </w:tcMar>
            <w:vAlign w:val="center"/>
          </w:tcPr>
          <w:p>
            <w:r>
              <w:t>Literature-supported axis state without an axis-specific assay; primarily neutral commitments.</w:t>
            </w:r>
          </w:p>
        </w:tc>
      </w:tr>
    </w:tbl>
    <w:p w14:paraId="64D09277" w14:textId="77777777">
      <w:pPr>
        <w:pStyle w:val="Caption"/>
        <w:keepNext/>
      </w:pPr>
      <w:r>
        <w:t>S3 Table.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31"/>
        <w:gridCol w:w="4814"/>
        <w:gridCol w:w="3009"/>
      </w:tblGrid>
      <w:tr w14:paraId="31466C3C" w14:textId="77777777">
        <w:trPr>
          <w:cantSplit/>
          <w:tblHeader/>
        </w:trPr>
        <w:tc>
          <w:tcPr>
            <w:tcW w:w="2232" w:type="dxa"/>
            <w:shd w:val="clear" w:color="auto" w:fill="173B59"/>
            <w:tcMar>
              <w:top w:w="60" w:type="dxa"/>
              <w:left w:w="80" w:type="dxa"/>
              <w:bottom w:w="60" w:type="dxa"/>
              <w:right w:w="80" w:type="dxa"/>
            </w:tcMar>
            <w:vAlign w:val="center"/>
          </w:tcPr>
          <w:p w14:paraId="308FC61C" w14:textId="77777777">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w14:paraId="16AFE2B6" w14:textId="77777777">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w14:paraId="74991EFB" w14:textId="77777777">
            <w:pPr>
              <w:spacing w:after="0" w:line="240" w:lineRule="auto"/>
            </w:pPr>
            <w:r>
              <w:rPr>
                <w:b/>
                <w:color w:val="FFFFFF"/>
                <w:sz w:val="15"/>
              </w:rPr>
              <w:t>Whole-variant treatment</w:t>
            </w:r>
          </w:p>
        </w:tc>
      </w:tr>
      <w:tr w14:paraId="261CD2BA" w14:textId="77777777">
        <w:trPr>
          <w:cantSplit/>
        </w:trPr>
        <w:tc>
          <w:tcPr>
            <w:tcW w:w="2232" w:type="dxa"/>
            <w:tcMar>
              <w:top w:w="60" w:type="dxa"/>
              <w:left w:w="80" w:type="dxa"/>
              <w:bottom w:w="60" w:type="dxa"/>
              <w:right w:w="80" w:type="dxa"/>
            </w:tcMar>
            <w:vAlign w:val="center"/>
          </w:tcPr>
          <w:p w14:paraId="75B306BF" w14:textId="77777777">
            <w:pPr>
              <w:spacing w:after="0" w:line="240" w:lineRule="auto"/>
            </w:pPr>
            <w:r>
              <w:rPr>
                <w:sz w:val="15"/>
              </w:rPr>
              <w:t>Representable structural</w:t>
            </w:r>
          </w:p>
        </w:tc>
        <w:tc>
          <w:tcPr>
            <w:tcW w:w="4608" w:type="dxa"/>
            <w:tcMar>
              <w:top w:w="60" w:type="dxa"/>
              <w:left w:w="80" w:type="dxa"/>
              <w:bottom w:w="60" w:type="dxa"/>
              <w:right w:w="80" w:type="dxa"/>
            </w:tcMar>
            <w:vAlign w:val="center"/>
          </w:tcPr>
          <w:p w14:paraId="7016BC21" w14:textId="77777777">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w14:paraId="333C29D0" w14:textId="77777777">
            <w:pPr>
              <w:spacing w:after="0" w:line="240" w:lineRule="auto"/>
            </w:pPr>
            <w:r>
              <w:rPr>
                <w:sz w:val="15"/>
              </w:rPr>
              <w:t>Grade the complete applicable-axis pattern.</w:t>
            </w:r>
          </w:p>
        </w:tc>
      </w:tr>
      <w:tr w14:paraId="5A15452F" w14:textId="77777777">
        <w:trPr>
          <w:cantSplit/>
        </w:trPr>
        <w:tc>
          <w:tcPr>
            <w:tcW w:w="2232" w:type="dxa"/>
            <w:shd w:val="clear" w:color="auto" w:fill="EEF2F6"/>
            <w:tcMar>
              <w:top w:w="60" w:type="dxa"/>
              <w:left w:w="80" w:type="dxa"/>
              <w:bottom w:w="60" w:type="dxa"/>
              <w:right w:w="80" w:type="dxa"/>
            </w:tcMar>
            <w:vAlign w:val="center"/>
          </w:tcPr>
          <w:p w14:paraId="3ACCEBF5" w14:textId="77777777">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w14:paraId="6284ED4B" w14:textId="77777777">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w14:paraId="2090478A" w14:textId="77777777">
            <w:pPr>
              <w:spacing w:after="0" w:line="240" w:lineRule="auto"/>
            </w:pPr>
            <w:r>
              <w:rPr>
                <w:sz w:val="15"/>
              </w:rPr>
              <w:t>Exclude whole-variant mechanism grading; retain independently gradeable axes.</w:t>
            </w:r>
          </w:p>
        </w:tc>
      </w:tr>
      <w:tr w14:paraId="30274EF6" w14:textId="77777777">
        <w:trPr>
          <w:cantSplit/>
        </w:trPr>
        <w:tc>
          <w:tcPr>
            <w:tcW w:w="2232" w:type="dxa"/>
            <w:tcMar>
              <w:top w:w="60" w:type="dxa"/>
              <w:left w:w="80" w:type="dxa"/>
              <w:bottom w:w="60" w:type="dxa"/>
              <w:right w:w="80" w:type="dxa"/>
            </w:tcMar>
            <w:vAlign w:val="center"/>
          </w:tcPr>
          <w:p w14:paraId="7D0C03EC" w14:textId="77777777">
            <w:pPr>
              <w:spacing w:after="0" w:line="240" w:lineRule="auto"/>
            </w:pPr>
            <w:r>
              <w:rPr>
                <w:sz w:val="15"/>
              </w:rPr>
              <w:t>Nonstructural or static-invisible</w:t>
            </w:r>
          </w:p>
        </w:tc>
        <w:tc>
          <w:tcPr>
            <w:tcW w:w="4608" w:type="dxa"/>
            <w:tcMar>
              <w:top w:w="60" w:type="dxa"/>
              <w:left w:w="80" w:type="dxa"/>
              <w:bottom w:w="60" w:type="dxa"/>
              <w:right w:w="80" w:type="dxa"/>
            </w:tcMar>
            <w:vAlign w:val="center"/>
          </w:tcPr>
          <w:p w14:paraId="50FF6B7F" w14:textId="77777777">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w14:paraId="71CBBD3A" w14:textId="77777777">
            <w:pPr>
              <w:spacing w:after="0" w:line="240" w:lineRule="auto"/>
            </w:pPr>
            <w:r>
              <w:rPr>
                <w:sz w:val="15"/>
              </w:rPr>
              <w:t>May be a committed benchmark negative only when literature supports the modeled axes.</w:t>
            </w:r>
          </w:p>
        </w:tc>
      </w:tr>
      <w:tr w14:paraId="58ADE2DE" w14:textId="77777777">
        <w:trPr>
          <w:cantSplit/>
        </w:trPr>
        <w:tc>
          <w:tcPr>
            <w:tcW w:w="2232" w:type="dxa"/>
            <w:shd w:val="clear" w:color="auto" w:fill="EEF2F6"/>
            <w:tcMar>
              <w:top w:w="60" w:type="dxa"/>
              <w:left w:w="80" w:type="dxa"/>
              <w:bottom w:w="60" w:type="dxa"/>
              <w:right w:w="80" w:type="dxa"/>
            </w:tcMar>
            <w:vAlign w:val="center"/>
          </w:tcPr>
          <w:p w14:paraId="6F0CF4A1" w14:textId="77777777">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w14:paraId="5F11A658" w14:textId="77777777">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w14:paraId="43276080" w14:textId="77777777">
            <w:pPr>
              <w:spacing w:after="0" w:line="240" w:lineRule="auto"/>
            </w:pPr>
            <w:r>
              <w:rPr>
                <w:sz w:val="15"/>
              </w:rPr>
              <w:t>Exclude from whole-variant grading.</w:t>
            </w:r>
          </w:p>
        </w:tc>
      </w:tr>
    </w:tbl>
    <w:p w14:paraId="3847FD88" w14:textId="77777777">
      <w:pPr>
        <w:pStyle w:val="Caption"/>
        <w:keepNext/>
      </w:pPr>
      <w:r>
        <w:t>S4 Table.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w14:paraId="1180ADC1" w14:textId="77777777">
        <w:trPr>
          <w:cantSplit/>
          <w:tblHeader/>
          <w:jc w:val="center"/>
        </w:trPr>
        <w:tc>
          <w:tcPr>
            <w:tcW w:w="3024" w:type="dxa"/>
            <w:shd w:val="clear" w:color="auto" w:fill="17324D"/>
            <w:tcMar>
              <w:top w:w="60" w:type="dxa"/>
              <w:left w:w="70" w:type="dxa"/>
              <w:bottom w:w="60" w:type="dxa"/>
              <w:right w:w="70" w:type="dxa"/>
            </w:tcMar>
            <w:vAlign w:val="center"/>
          </w:tcPr>
          <w:p w14:paraId="3CD62E49" w14:textId="77777777">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w14:paraId="7FBA853A" w14:textId="77777777">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w14:paraId="3195F2B0" w14:textId="77777777">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w14:paraId="608C2413" w14:textId="77777777">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w14:paraId="7B50DA72" w14:textId="77777777">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w14:paraId="67D936AE" w14:textId="77777777">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w14:paraId="1313A760" w14:textId="77777777">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w14:paraId="7408D282" w14:textId="77777777">
            <w:pPr>
              <w:spacing w:after="0" w:line="240" w:lineRule="auto"/>
            </w:pPr>
            <w:r>
              <w:rPr>
                <w:b/>
                <w:color w:val="FFFFFF"/>
                <w:sz w:val="15"/>
              </w:rPr>
              <w:t>Within-system p</w:t>
            </w:r>
          </w:p>
        </w:tc>
      </w:tr>
      <w:tr w14:paraId="58E4CDDC" w14:textId="77777777">
        <w:trPr>
          <w:cantSplit/>
          <w:jc w:val="center"/>
        </w:trPr>
        <w:tc>
          <w:tcPr>
            <w:tcW w:w="3024" w:type="dxa"/>
            <w:tcMar>
              <w:top w:w="60" w:type="dxa"/>
              <w:left w:w="70" w:type="dxa"/>
              <w:bottom w:w="60" w:type="dxa"/>
              <w:right w:w="70" w:type="dxa"/>
            </w:tcMar>
            <w:vAlign w:val="center"/>
          </w:tcPr>
          <w:p w14:paraId="10968794" w14:textId="77777777">
            <w:pPr>
              <w:spacing w:after="0" w:line="240" w:lineRule="auto"/>
            </w:pPr>
            <w:r>
              <w:rPr>
                <w:sz w:val="15"/>
              </w:rPr>
              <w:t>Any pLDDT-passing interface</w:t>
            </w:r>
          </w:p>
        </w:tc>
        <w:tc>
          <w:tcPr>
            <w:tcW w:w="864" w:type="dxa"/>
            <w:tcMar>
              <w:top w:w="60" w:type="dxa"/>
              <w:left w:w="70" w:type="dxa"/>
              <w:bottom w:w="60" w:type="dxa"/>
              <w:right w:w="70" w:type="dxa"/>
            </w:tcMar>
            <w:vAlign w:val="center"/>
          </w:tcPr>
          <w:p w14:paraId="79DBF0A9" w14:textId="77777777">
            <w:pPr>
              <w:spacing w:after="0" w:line="240" w:lineRule="auto"/>
            </w:pPr>
            <w:r>
              <w:rPr>
                <w:sz w:val="15"/>
              </w:rPr>
              <w:t>15/5</w:t>
            </w:r>
          </w:p>
        </w:tc>
        <w:tc>
          <w:tcPr>
            <w:tcW w:w="864" w:type="dxa"/>
            <w:tcMar>
              <w:top w:w="60" w:type="dxa"/>
              <w:left w:w="70" w:type="dxa"/>
              <w:bottom w:w="60" w:type="dxa"/>
              <w:right w:w="70" w:type="dxa"/>
            </w:tcMar>
            <w:vAlign w:val="center"/>
          </w:tcPr>
          <w:p w14:paraId="05AC7092" w14:textId="77777777">
            <w:pPr>
              <w:spacing w:after="0" w:line="240" w:lineRule="auto"/>
            </w:pPr>
            <w:r>
              <w:rPr>
                <w:sz w:val="15"/>
              </w:rPr>
              <w:t>7/20</w:t>
            </w:r>
          </w:p>
        </w:tc>
        <w:tc>
          <w:tcPr>
            <w:tcW w:w="1037" w:type="dxa"/>
            <w:tcMar>
              <w:top w:w="60" w:type="dxa"/>
              <w:left w:w="70" w:type="dxa"/>
              <w:bottom w:w="60" w:type="dxa"/>
              <w:right w:w="70" w:type="dxa"/>
            </w:tcMar>
            <w:vAlign w:val="center"/>
          </w:tcPr>
          <w:p w14:paraId="4367372D" w14:textId="77777777">
            <w:pPr>
              <w:spacing w:after="0" w:line="240" w:lineRule="auto"/>
            </w:pPr>
            <w:r>
              <w:rPr>
                <w:sz w:val="15"/>
              </w:rPr>
              <w:t>0.750</w:t>
            </w:r>
          </w:p>
        </w:tc>
        <w:tc>
          <w:tcPr>
            <w:tcW w:w="1037" w:type="dxa"/>
            <w:tcMar>
              <w:top w:w="60" w:type="dxa"/>
              <w:left w:w="70" w:type="dxa"/>
              <w:bottom w:w="60" w:type="dxa"/>
              <w:right w:w="70" w:type="dxa"/>
            </w:tcMar>
            <w:vAlign w:val="center"/>
          </w:tcPr>
          <w:p w14:paraId="69BCA4A5" w14:textId="77777777">
            <w:pPr>
              <w:spacing w:after="0" w:line="240" w:lineRule="auto"/>
            </w:pPr>
            <w:r>
              <w:rPr>
                <w:sz w:val="15"/>
              </w:rPr>
              <w:t>0.741</w:t>
            </w:r>
          </w:p>
        </w:tc>
        <w:tc>
          <w:tcPr>
            <w:tcW w:w="792" w:type="dxa"/>
            <w:tcMar>
              <w:top w:w="60" w:type="dxa"/>
              <w:left w:w="70" w:type="dxa"/>
              <w:bottom w:w="60" w:type="dxa"/>
              <w:right w:w="70" w:type="dxa"/>
            </w:tcMar>
            <w:vAlign w:val="center"/>
          </w:tcPr>
          <w:p w14:paraId="05052BFB" w14:textId="77777777">
            <w:pPr>
              <w:spacing w:after="0" w:line="240" w:lineRule="auto"/>
            </w:pPr>
            <w:r>
              <w:rPr>
                <w:sz w:val="15"/>
              </w:rPr>
              <w:t>0.682</w:t>
            </w:r>
          </w:p>
        </w:tc>
        <w:tc>
          <w:tcPr>
            <w:tcW w:w="1267" w:type="dxa"/>
            <w:tcMar>
              <w:top w:w="60" w:type="dxa"/>
              <w:left w:w="70" w:type="dxa"/>
              <w:bottom w:w="60" w:type="dxa"/>
              <w:right w:w="70" w:type="dxa"/>
            </w:tcMar>
            <w:vAlign w:val="center"/>
          </w:tcPr>
          <w:p w14:paraId="3274EE16" w14:textId="77777777">
            <w:pPr>
              <w:spacing w:after="0" w:line="240" w:lineRule="auto"/>
            </w:pPr>
            <w:r>
              <w:rPr>
                <w:sz w:val="15"/>
              </w:rPr>
              <w:t>0.745</w:t>
            </w:r>
          </w:p>
        </w:tc>
        <w:tc>
          <w:tcPr>
            <w:tcW w:w="1224" w:type="dxa"/>
            <w:tcMar>
              <w:top w:w="60" w:type="dxa"/>
              <w:left w:w="70" w:type="dxa"/>
              <w:bottom w:w="60" w:type="dxa"/>
              <w:right w:w="70" w:type="dxa"/>
            </w:tcMar>
            <w:vAlign w:val="center"/>
          </w:tcPr>
          <w:p w14:paraId="4ADE9AC8" w14:textId="77777777">
            <w:pPr>
              <w:spacing w:after="0" w:line="240" w:lineRule="auto"/>
            </w:pPr>
            <w:r>
              <w:rPr>
                <w:sz w:val="15"/>
              </w:rPr>
              <w:t>0.0018</w:t>
            </w:r>
          </w:p>
        </w:tc>
      </w:tr>
      <w:tr w14:paraId="4CEBC918" w14:textId="77777777">
        <w:trPr>
          <w:cantSplit/>
          <w:jc w:val="center"/>
        </w:trPr>
        <w:tc>
          <w:tcPr>
            <w:tcW w:w="3024" w:type="dxa"/>
            <w:shd w:val="clear" w:color="auto" w:fill="F7F9FB"/>
            <w:tcMar>
              <w:top w:w="60" w:type="dxa"/>
              <w:left w:w="70" w:type="dxa"/>
              <w:bottom w:w="60" w:type="dxa"/>
              <w:right w:w="70" w:type="dxa"/>
            </w:tcMar>
            <w:vAlign w:val="center"/>
          </w:tcPr>
          <w:p w14:paraId="5CBA5DA4" w14:textId="77777777">
            <w:pPr>
              <w:spacing w:after="0" w:line="240" w:lineRule="auto"/>
            </w:pPr>
            <w:r>
              <w:rPr>
                <w:sz w:val="15"/>
              </w:rPr>
              <w:t>Contact/severity + burial; no interface bonus</w:t>
            </w:r>
          </w:p>
        </w:tc>
        <w:tc>
          <w:tcPr>
            <w:tcW w:w="864" w:type="dxa"/>
            <w:shd w:val="clear" w:color="auto" w:fill="F7F9FB"/>
            <w:tcMar>
              <w:top w:w="60" w:type="dxa"/>
              <w:left w:w="70" w:type="dxa"/>
              <w:bottom w:w="60" w:type="dxa"/>
              <w:right w:w="70" w:type="dxa"/>
            </w:tcMar>
            <w:vAlign w:val="center"/>
          </w:tcPr>
          <w:p w14:paraId="74A74BEB" w14:textId="77777777">
            <w:pPr>
              <w:spacing w:after="0" w:line="240" w:lineRule="auto"/>
            </w:pPr>
            <w:r>
              <w:rPr>
                <w:sz w:val="15"/>
              </w:rPr>
              <w:t>15/5</w:t>
            </w:r>
          </w:p>
        </w:tc>
        <w:tc>
          <w:tcPr>
            <w:tcW w:w="864" w:type="dxa"/>
            <w:shd w:val="clear" w:color="auto" w:fill="F7F9FB"/>
            <w:tcMar>
              <w:top w:w="60" w:type="dxa"/>
              <w:left w:w="70" w:type="dxa"/>
              <w:bottom w:w="60" w:type="dxa"/>
              <w:right w:w="70" w:type="dxa"/>
            </w:tcMar>
            <w:vAlign w:val="center"/>
          </w:tcPr>
          <w:p w14:paraId="5118736D" w14:textId="77777777">
            <w:pPr>
              <w:spacing w:after="0" w:line="240" w:lineRule="auto"/>
            </w:pPr>
            <w:r>
              <w:rPr>
                <w:sz w:val="15"/>
              </w:rPr>
              <w:t>11/16</w:t>
            </w:r>
          </w:p>
        </w:tc>
        <w:tc>
          <w:tcPr>
            <w:tcW w:w="1037" w:type="dxa"/>
            <w:shd w:val="clear" w:color="auto" w:fill="F7F9FB"/>
            <w:tcMar>
              <w:top w:w="60" w:type="dxa"/>
              <w:left w:w="70" w:type="dxa"/>
              <w:bottom w:w="60" w:type="dxa"/>
              <w:right w:w="70" w:type="dxa"/>
            </w:tcMar>
            <w:vAlign w:val="center"/>
          </w:tcPr>
          <w:p w14:paraId="3210FC95" w14:textId="77777777">
            <w:pPr>
              <w:spacing w:after="0" w:line="240" w:lineRule="auto"/>
            </w:pPr>
            <w:r>
              <w:rPr>
                <w:sz w:val="15"/>
              </w:rPr>
              <w:t>0.750</w:t>
            </w:r>
          </w:p>
        </w:tc>
        <w:tc>
          <w:tcPr>
            <w:tcW w:w="1037" w:type="dxa"/>
            <w:shd w:val="clear" w:color="auto" w:fill="F7F9FB"/>
            <w:tcMar>
              <w:top w:w="60" w:type="dxa"/>
              <w:left w:w="70" w:type="dxa"/>
              <w:bottom w:w="60" w:type="dxa"/>
              <w:right w:w="70" w:type="dxa"/>
            </w:tcMar>
            <w:vAlign w:val="center"/>
          </w:tcPr>
          <w:p w14:paraId="50B6ADC1" w14:textId="77777777">
            <w:pPr>
              <w:spacing w:after="0" w:line="240" w:lineRule="auto"/>
            </w:pPr>
            <w:r>
              <w:rPr>
                <w:sz w:val="15"/>
              </w:rPr>
              <w:t>0.593</w:t>
            </w:r>
          </w:p>
        </w:tc>
        <w:tc>
          <w:tcPr>
            <w:tcW w:w="792" w:type="dxa"/>
            <w:shd w:val="clear" w:color="auto" w:fill="F7F9FB"/>
            <w:tcMar>
              <w:top w:w="60" w:type="dxa"/>
              <w:left w:w="70" w:type="dxa"/>
              <w:bottom w:w="60" w:type="dxa"/>
              <w:right w:w="70" w:type="dxa"/>
            </w:tcMar>
            <w:vAlign w:val="center"/>
          </w:tcPr>
          <w:p w14:paraId="0B34A5D9" w14:textId="77777777">
            <w:pPr>
              <w:spacing w:after="0" w:line="240" w:lineRule="auto"/>
            </w:pPr>
            <w:r>
              <w:rPr>
                <w:sz w:val="15"/>
              </w:rPr>
              <w:t>0.577</w:t>
            </w:r>
          </w:p>
        </w:tc>
        <w:tc>
          <w:tcPr>
            <w:tcW w:w="1267" w:type="dxa"/>
            <w:shd w:val="clear" w:color="auto" w:fill="F7F9FB"/>
            <w:tcMar>
              <w:top w:w="60" w:type="dxa"/>
              <w:left w:w="70" w:type="dxa"/>
              <w:bottom w:w="60" w:type="dxa"/>
              <w:right w:w="70" w:type="dxa"/>
            </w:tcMar>
            <w:vAlign w:val="center"/>
          </w:tcPr>
          <w:p w14:paraId="7DCB3C69" w14:textId="77777777">
            <w:pPr>
              <w:spacing w:after="0" w:line="240" w:lineRule="auto"/>
            </w:pPr>
            <w:r>
              <w:rPr>
                <w:sz w:val="15"/>
              </w:rPr>
              <w:t>0.671</w:t>
            </w:r>
          </w:p>
        </w:tc>
        <w:tc>
          <w:tcPr>
            <w:tcW w:w="1224" w:type="dxa"/>
            <w:shd w:val="clear" w:color="auto" w:fill="F7F9FB"/>
            <w:tcMar>
              <w:top w:w="60" w:type="dxa"/>
              <w:left w:w="70" w:type="dxa"/>
              <w:bottom w:w="60" w:type="dxa"/>
              <w:right w:w="70" w:type="dxa"/>
            </w:tcMar>
            <w:vAlign w:val="center"/>
          </w:tcPr>
          <w:p w14:paraId="78D98C64" w14:textId="77777777">
            <w:pPr>
              <w:spacing w:after="0" w:line="240" w:lineRule="auto"/>
            </w:pPr>
            <w:r>
              <w:rPr>
                <w:sz w:val="15"/>
              </w:rPr>
              <w:t>0.087</w:t>
            </w:r>
          </w:p>
        </w:tc>
      </w:tr>
      <w:tr w14:paraId="7F310AD0" w14:textId="77777777">
        <w:trPr>
          <w:cantSplit/>
          <w:jc w:val="center"/>
        </w:trPr>
        <w:tc>
          <w:tcPr>
            <w:tcW w:w="3024" w:type="dxa"/>
            <w:tcMar>
              <w:top w:w="60" w:type="dxa"/>
              <w:left w:w="70" w:type="dxa"/>
              <w:bottom w:w="60" w:type="dxa"/>
              <w:right w:w="70" w:type="dxa"/>
            </w:tcMar>
            <w:vAlign w:val="center"/>
          </w:tcPr>
          <w:p w14:paraId="0C8E85CC" w14:textId="77777777">
            <w:pPr>
              <w:spacing w:after="0" w:line="240" w:lineRule="auto"/>
            </w:pPr>
            <w:r>
              <w:rPr>
                <w:sz w:val="15"/>
              </w:rPr>
              <w:t>Full Tier 1-2 screen</w:t>
            </w:r>
          </w:p>
        </w:tc>
        <w:tc>
          <w:tcPr>
            <w:tcW w:w="864" w:type="dxa"/>
            <w:tcMar>
              <w:top w:w="60" w:type="dxa"/>
              <w:left w:w="70" w:type="dxa"/>
              <w:bottom w:w="60" w:type="dxa"/>
              <w:right w:w="70" w:type="dxa"/>
            </w:tcMar>
            <w:vAlign w:val="center"/>
          </w:tcPr>
          <w:p w14:paraId="52AFA20C" w14:textId="77777777">
            <w:pPr>
              <w:spacing w:after="0" w:line="240" w:lineRule="auto"/>
            </w:pPr>
            <w:r>
              <w:rPr>
                <w:sz w:val="15"/>
              </w:rPr>
              <w:t>18/2</w:t>
            </w:r>
          </w:p>
        </w:tc>
        <w:tc>
          <w:tcPr>
            <w:tcW w:w="864" w:type="dxa"/>
            <w:tcMar>
              <w:top w:w="60" w:type="dxa"/>
              <w:left w:w="70" w:type="dxa"/>
              <w:bottom w:w="60" w:type="dxa"/>
              <w:right w:w="70" w:type="dxa"/>
            </w:tcMar>
            <w:vAlign w:val="center"/>
          </w:tcPr>
          <w:p w14:paraId="36E89661" w14:textId="77777777">
            <w:pPr>
              <w:spacing w:after="0" w:line="240" w:lineRule="auto"/>
            </w:pPr>
            <w:r>
              <w:rPr>
                <w:sz w:val="15"/>
              </w:rPr>
              <w:t>12/15</w:t>
            </w:r>
          </w:p>
        </w:tc>
        <w:tc>
          <w:tcPr>
            <w:tcW w:w="1037" w:type="dxa"/>
            <w:tcMar>
              <w:top w:w="60" w:type="dxa"/>
              <w:left w:w="70" w:type="dxa"/>
              <w:bottom w:w="60" w:type="dxa"/>
              <w:right w:w="70" w:type="dxa"/>
            </w:tcMar>
            <w:vAlign w:val="center"/>
          </w:tcPr>
          <w:p w14:paraId="13DDCFEC" w14:textId="77777777">
            <w:pPr>
              <w:spacing w:after="0" w:line="240" w:lineRule="auto"/>
            </w:pPr>
            <w:r>
              <w:rPr>
                <w:sz w:val="15"/>
              </w:rPr>
              <w:t>0.900</w:t>
            </w:r>
          </w:p>
        </w:tc>
        <w:tc>
          <w:tcPr>
            <w:tcW w:w="1037" w:type="dxa"/>
            <w:tcMar>
              <w:top w:w="60" w:type="dxa"/>
              <w:left w:w="70" w:type="dxa"/>
              <w:bottom w:w="60" w:type="dxa"/>
              <w:right w:w="70" w:type="dxa"/>
            </w:tcMar>
            <w:vAlign w:val="center"/>
          </w:tcPr>
          <w:p w14:paraId="3F7E4B8E" w14:textId="77777777">
            <w:pPr>
              <w:spacing w:after="0" w:line="240" w:lineRule="auto"/>
            </w:pPr>
            <w:r>
              <w:rPr>
                <w:sz w:val="15"/>
              </w:rPr>
              <w:t>0.556</w:t>
            </w:r>
          </w:p>
        </w:tc>
        <w:tc>
          <w:tcPr>
            <w:tcW w:w="792" w:type="dxa"/>
            <w:tcMar>
              <w:top w:w="60" w:type="dxa"/>
              <w:left w:w="70" w:type="dxa"/>
              <w:bottom w:w="60" w:type="dxa"/>
              <w:right w:w="70" w:type="dxa"/>
            </w:tcMar>
            <w:vAlign w:val="center"/>
          </w:tcPr>
          <w:p w14:paraId="6B25509D" w14:textId="77777777">
            <w:pPr>
              <w:spacing w:after="0" w:line="240" w:lineRule="auto"/>
            </w:pPr>
            <w:r>
              <w:rPr>
                <w:sz w:val="15"/>
              </w:rPr>
              <w:t>0.600</w:t>
            </w:r>
          </w:p>
        </w:tc>
        <w:tc>
          <w:tcPr>
            <w:tcW w:w="1267" w:type="dxa"/>
            <w:tcMar>
              <w:top w:w="60" w:type="dxa"/>
              <w:left w:w="70" w:type="dxa"/>
              <w:bottom w:w="60" w:type="dxa"/>
              <w:right w:w="70" w:type="dxa"/>
            </w:tcMar>
            <w:vAlign w:val="center"/>
          </w:tcPr>
          <w:p w14:paraId="1192828F" w14:textId="77777777">
            <w:pPr>
              <w:spacing w:after="0" w:line="240" w:lineRule="auto"/>
            </w:pPr>
            <w:r>
              <w:rPr>
                <w:sz w:val="15"/>
              </w:rPr>
              <w:t>0.728</w:t>
            </w:r>
          </w:p>
        </w:tc>
        <w:tc>
          <w:tcPr>
            <w:tcW w:w="1224" w:type="dxa"/>
            <w:tcMar>
              <w:top w:w="60" w:type="dxa"/>
              <w:left w:w="70" w:type="dxa"/>
              <w:bottom w:w="60" w:type="dxa"/>
              <w:right w:w="70" w:type="dxa"/>
            </w:tcMar>
            <w:vAlign w:val="center"/>
          </w:tcPr>
          <w:p w14:paraId="3CA7749A" w14:textId="77777777">
            <w:pPr>
              <w:spacing w:after="0" w:line="240" w:lineRule="auto"/>
            </w:pPr>
            <w:r>
              <w:rPr>
                <w:sz w:val="15"/>
              </w:rPr>
              <w:t>0.0057</w:t>
            </w:r>
          </w:p>
        </w:tc>
      </w:tr>
    </w:tbl>
    <w:p w14:paraId="21E54CB8" w14:textId="77777777">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w14:paraId="74BD0229" w14:textId="77777777">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w14:paraId="1208DE80" w14:textId="77777777">
      <w:pPr>
        <w:pStyle w:val="Heading2"/>
      </w:pPr>
      <w:r>
        <w:t>S2 Text. Evidence provenance and denominator sensitivity</w:t>
      </w:r>
    </w:p>
    <w:p w14:paraId="794C94DC" w14:textId="77777777">
      <w:r>
        <w:rPr>
          <w:rFonts w:ascii="Arial" w:hAnsi="Arial" w:eastAsia="Arial"/>
        </w:rP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14:paraId="7B33C663" w14:textId="77777777">
      <w:r>
        <w:t>Using the all-row 78-axis convention, energetic-output agreement was 20/32 = 0.625 for E1-E2 evidence and 36/46 = 0.783 for E3-E5 evidence (Fisher p = 0.200). Evidence class was strongly associated with expected axis state: direct measurements were preferentially available for destabilizers, whereas frequency-supported and inferred commitments were predominantly neutral. Within expected-destabilizing axes, agreement was 14/24 for E1-E2 and 4/8 for E3-E5; within expected-neutral axes, the corresponding rates were 6/7 and 32/38. The continuity-corrected Mantel-Haenszel estimate across expected-state strata was odds ratio 1.30 (p = 0.95). Thus the current benchmark does not show that evidence category independently explains energetic-output agreement after expected axis state is considered. Among 25 gradeable E1 energetic axes, 18 agreed (0.720).</w:t>
      </w:r>
    </w:p>
    <w:p w14:paraId="0C4EAB5F" w14:textId="77777777">
      <w:r>
        <w:t>Strict variant-level sensitivity analyses used all-axis definitions. Requiring every committed axis to have E1-E3 support left n = 26 (tier sensitivity 0.875, specificity 0.600). Requiring every committed axis to be direct or coupled left the same 26 variants (sensitivity 0.875, specificity 0.600).</w:t>
      </w:r>
    </w:p>
    <w:p w14:paraId="4111021A" w14:textId="77777777">
      <w:pPr>
        <w:pStyle w:val="Caption"/>
        <w:keepNext/>
      </w:pPr>
      <w:r>
        <w:t>S5 Table.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60"/>
        <w:gridCol w:w="1788"/>
        <w:gridCol w:w="1644"/>
        <w:gridCol w:w="1788"/>
        <w:gridCol w:w="2074"/>
      </w:tblGrid>
      <w:tr w14:paraId="162DD442" w14:textId="77777777">
        <w:trPr>
          <w:cantSplit/>
          <w:tblHeader/>
        </w:trPr>
        <w:tc>
          <w:tcPr>
            <w:tcW w:w="2880" w:type="dxa"/>
            <w:shd w:val="clear" w:color="auto" w:fill="173B59"/>
            <w:tcMar>
              <w:top w:w="60" w:type="dxa"/>
              <w:left w:w="80" w:type="dxa"/>
              <w:bottom w:w="60" w:type="dxa"/>
              <w:right w:w="80" w:type="dxa"/>
            </w:tcMar>
            <w:vAlign w:val="center"/>
          </w:tcPr>
          <w:p w14:paraId="448A67D3" w14:textId="77777777">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w14:paraId="0CBDF554" w14:textId="77777777">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w14:paraId="6E794BAA" w14:textId="77777777">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w14:paraId="3E58A2C8" w14:textId="77777777">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w14:paraId="6969AD64" w14:textId="77777777">
            <w:pPr>
              <w:spacing w:after="0" w:line="240" w:lineRule="auto"/>
            </w:pPr>
            <w:r>
              <w:rPr>
                <w:b/>
                <w:sz w:val="15"/>
              </w:rPr>
              <w:t>Four-output continuity aggregate</w:t>
            </w:r>
          </w:p>
        </w:tc>
      </w:tr>
      <w:tr w14:paraId="37129FFA" w14:textId="77777777">
        <w:trPr>
          <w:cantSplit/>
        </w:trPr>
        <w:tc>
          <w:tcPr>
            <w:tcW w:w="2880" w:type="dxa"/>
            <w:tcMar>
              <w:top w:w="60" w:type="dxa"/>
              <w:left w:w="80" w:type="dxa"/>
              <w:bottom w:w="60" w:type="dxa"/>
              <w:right w:w="80" w:type="dxa"/>
            </w:tcMar>
            <w:vAlign w:val="center"/>
          </w:tcPr>
          <w:p w14:paraId="7734B646" w14:textId="77777777">
            <w:pPr>
              <w:spacing w:after="0" w:line="240" w:lineRule="auto"/>
            </w:pPr>
            <w:r>
              <w:rPr>
                <w:sz w:val="15"/>
              </w:rPr>
              <w:t>Primary 57-variant graded cohort</w:t>
            </w:r>
          </w:p>
        </w:tc>
        <w:tc>
          <w:tcPr>
            <w:tcW w:w="1800" w:type="dxa"/>
            <w:tcMar>
              <w:top w:w="60" w:type="dxa"/>
              <w:left w:w="80" w:type="dxa"/>
              <w:bottom w:w="60" w:type="dxa"/>
              <w:right w:w="80" w:type="dxa"/>
            </w:tcMar>
            <w:vAlign w:val="center"/>
          </w:tcPr>
          <w:p w14:paraId="3C419484" w14:textId="77777777">
            <w:pPr>
              <w:spacing w:after="0" w:line="240" w:lineRule="auto"/>
            </w:pPr>
            <w:r>
              <w:rPr>
                <w:sz w:val="15"/>
              </w:rPr>
              <w:t>39.5/57 = 0.693</w:t>
            </w:r>
          </w:p>
        </w:tc>
        <w:tc>
          <w:tcPr>
            <w:tcW w:w="1655" w:type="dxa"/>
            <w:tcMar>
              <w:top w:w="60" w:type="dxa"/>
              <w:left w:w="80" w:type="dxa"/>
              <w:bottom w:w="60" w:type="dxa"/>
              <w:right w:w="80" w:type="dxa"/>
            </w:tcMar>
            <w:vAlign w:val="center"/>
          </w:tcPr>
          <w:p w14:paraId="3AEB53CF" w14:textId="77777777">
            <w:pPr>
              <w:spacing w:after="0" w:line="240" w:lineRule="auto"/>
            </w:pPr>
            <w:r>
              <w:rPr>
                <w:sz w:val="15"/>
              </w:rPr>
              <w:t>19/25 = 0.760</w:t>
            </w:r>
          </w:p>
        </w:tc>
        <w:tc>
          <w:tcPr>
            <w:tcW w:w="1800" w:type="dxa"/>
            <w:tcMar>
              <w:top w:w="60" w:type="dxa"/>
              <w:left w:w="80" w:type="dxa"/>
              <w:bottom w:w="60" w:type="dxa"/>
              <w:right w:w="80" w:type="dxa"/>
            </w:tcMar>
            <w:vAlign w:val="center"/>
          </w:tcPr>
          <w:p w14:paraId="70FB0D74" w14:textId="77777777">
            <w:pPr>
              <w:spacing w:after="0" w:line="240" w:lineRule="auto"/>
            </w:pPr>
            <w:r>
              <w:rPr>
                <w:sz w:val="15"/>
              </w:rPr>
              <w:t>56/77 = 0.727</w:t>
            </w:r>
          </w:p>
        </w:tc>
        <w:tc>
          <w:tcPr>
            <w:tcW w:w="2088" w:type="dxa"/>
            <w:tcMar>
              <w:top w:w="60" w:type="dxa"/>
              <w:left w:w="80" w:type="dxa"/>
              <w:bottom w:w="60" w:type="dxa"/>
              <w:right w:w="80" w:type="dxa"/>
            </w:tcMar>
            <w:vAlign w:val="center"/>
          </w:tcPr>
          <w:p w14:paraId="6A401280" w14:textId="77777777">
            <w:pPr>
              <w:spacing w:after="0" w:line="240" w:lineRule="auto"/>
            </w:pPr>
            <w:r>
              <w:rPr>
                <w:sz w:val="15"/>
              </w:rPr>
              <w:t>89/124 = 0.718</w:t>
            </w:r>
          </w:p>
        </w:tc>
      </w:tr>
      <w:tr w14:paraId="7F807EB8" w14:textId="77777777">
        <w:trPr>
          <w:cantSplit/>
        </w:trPr>
        <w:tc>
          <w:tcPr>
            <w:tcW w:w="2880" w:type="dxa"/>
            <w:shd w:val="clear" w:color="auto" w:fill="EEF2F6"/>
            <w:tcMar>
              <w:top w:w="60" w:type="dxa"/>
              <w:left w:w="80" w:type="dxa"/>
              <w:bottom w:w="60" w:type="dxa"/>
              <w:right w:w="80" w:type="dxa"/>
            </w:tcMar>
            <w:vAlign w:val="center"/>
          </w:tcPr>
          <w:p w14:paraId="60900DBD" w14:textId="77777777">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w14:paraId="116BF649" w14:textId="77777777">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w14:paraId="75D41433" w14:textId="77777777">
            <w:pPr>
              <w:spacing w:after="0" w:line="240" w:lineRule="auto"/>
            </w:pPr>
            <w:r>
              <w:rPr>
                <w:sz w:val="15"/>
              </w:rPr>
              <w:t>19/26 = 0.731</w:t>
            </w:r>
          </w:p>
        </w:tc>
        <w:tc>
          <w:tcPr>
            <w:tcW w:w="1800" w:type="dxa"/>
            <w:shd w:val="clear" w:color="auto" w:fill="EEF2F6"/>
            <w:tcMar>
              <w:top w:w="60" w:type="dxa"/>
              <w:left w:w="80" w:type="dxa"/>
              <w:bottom w:w="60" w:type="dxa"/>
              <w:right w:w="80" w:type="dxa"/>
            </w:tcMar>
            <w:vAlign w:val="center"/>
          </w:tcPr>
          <w:p w14:paraId="6417E5E1" w14:textId="77777777">
            <w:pPr>
              <w:spacing w:after="0" w:line="240" w:lineRule="auto"/>
            </w:pPr>
            <w:r>
              <w:rPr>
                <w:sz w:val="15"/>
              </w:rPr>
              <w:t>56/78 = 0.718</w:t>
            </w:r>
          </w:p>
        </w:tc>
        <w:tc>
          <w:tcPr>
            <w:tcW w:w="2088" w:type="dxa"/>
            <w:shd w:val="clear" w:color="auto" w:fill="EEF2F6"/>
            <w:tcMar>
              <w:top w:w="60" w:type="dxa"/>
              <w:left w:w="80" w:type="dxa"/>
              <w:bottom w:w="60" w:type="dxa"/>
              <w:right w:w="80" w:type="dxa"/>
            </w:tcMar>
            <w:vAlign w:val="center"/>
          </w:tcPr>
          <w:p w14:paraId="03DAE499" w14:textId="77777777">
            <w:pPr>
              <w:spacing w:after="0" w:line="240" w:lineRule="auto"/>
            </w:pPr>
            <w:r>
              <w:rPr>
                <w:sz w:val="15"/>
              </w:rPr>
              <w:t>89/125 = 0.712</w:t>
            </w:r>
          </w:p>
        </w:tc>
      </w:tr>
      <w:tr w14:paraId="40EE0C19" w14:textId="77777777">
        <w:trPr>
          <w:cantSplit/>
        </w:trPr>
        <w:tc>
          <w:tcPr>
            <w:tcW w:w="2880" w:type="dxa"/>
            <w:tcMar>
              <w:top w:w="60" w:type="dxa"/>
              <w:left w:w="80" w:type="dxa"/>
              <w:bottom w:w="60" w:type="dxa"/>
              <w:right w:w="80" w:type="dxa"/>
            </w:tcMar>
            <w:vAlign w:val="center"/>
          </w:tcPr>
          <w:p w14:paraId="7F8A616F" w14:textId="77777777">
            <w:pPr>
              <w:spacing w:after="0" w:line="240" w:lineRule="auto"/>
            </w:pPr>
            <w:r>
              <w:rPr>
                <w:sz w:val="15"/>
              </w:rPr>
              <w:t>Include BRCA1 R1699L/Q in rubric-only sensitivity</w:t>
            </w:r>
          </w:p>
        </w:tc>
        <w:tc>
          <w:tcPr>
            <w:tcW w:w="1800" w:type="dxa"/>
            <w:tcMar>
              <w:top w:w="60" w:type="dxa"/>
              <w:left w:w="80" w:type="dxa"/>
              <w:bottom w:w="60" w:type="dxa"/>
              <w:right w:w="80" w:type="dxa"/>
            </w:tcMar>
            <w:vAlign w:val="center"/>
          </w:tcPr>
          <w:p w14:paraId="7AC8E49E" w14:textId="77777777">
            <w:pPr>
              <w:spacing w:after="0" w:line="240" w:lineRule="auto"/>
            </w:pPr>
            <w:r>
              <w:rPr>
                <w:sz w:val="15"/>
              </w:rPr>
              <w:t>41.5/59 = 0.703</w:t>
            </w:r>
          </w:p>
        </w:tc>
        <w:tc>
          <w:tcPr>
            <w:tcW w:w="1655" w:type="dxa"/>
            <w:tcMar>
              <w:top w:w="60" w:type="dxa"/>
              <w:left w:w="80" w:type="dxa"/>
              <w:bottom w:w="60" w:type="dxa"/>
              <w:right w:w="80" w:type="dxa"/>
            </w:tcMar>
            <w:vAlign w:val="center"/>
          </w:tcPr>
          <w:p w14:paraId="07F78700" w14:textId="77777777">
            <w:pPr>
              <w:spacing w:after="0" w:line="240" w:lineRule="auto"/>
            </w:pPr>
            <w:r>
              <w:rPr>
                <w:sz w:val="15"/>
              </w:rPr>
              <w:t>Measured axes remain available</w:t>
            </w:r>
          </w:p>
        </w:tc>
        <w:tc>
          <w:tcPr>
            <w:tcW w:w="1800" w:type="dxa"/>
            <w:tcMar>
              <w:top w:w="60" w:type="dxa"/>
              <w:left w:w="80" w:type="dxa"/>
              <w:bottom w:w="60" w:type="dxa"/>
              <w:right w:w="80" w:type="dxa"/>
            </w:tcMar>
            <w:vAlign w:val="center"/>
          </w:tcPr>
          <w:p w14:paraId="3E02B962" w14:textId="77777777">
            <w:pPr>
              <w:spacing w:after="0" w:line="240" w:lineRule="auto"/>
            </w:pPr>
            <w:r>
              <w:rPr>
                <w:sz w:val="15"/>
              </w:rPr>
              <w:t>Not used as headline</w:t>
            </w:r>
          </w:p>
        </w:tc>
        <w:tc>
          <w:tcPr>
            <w:tcW w:w="2088" w:type="dxa"/>
            <w:tcMar>
              <w:top w:w="60" w:type="dxa"/>
              <w:left w:w="80" w:type="dxa"/>
              <w:bottom w:w="60" w:type="dxa"/>
              <w:right w:w="80" w:type="dxa"/>
            </w:tcMar>
            <w:vAlign w:val="center"/>
          </w:tcPr>
          <w:p w14:paraId="098EA8CA" w14:textId="77777777">
            <w:pPr>
              <w:spacing w:after="0" w:line="240" w:lineRule="auto"/>
            </w:pPr>
            <w:r>
              <w:rPr>
                <w:sz w:val="15"/>
              </w:rPr>
              <w:t>Not used as headline</w:t>
            </w:r>
          </w:p>
        </w:tc>
      </w:tr>
    </w:tbl>
    <w:p w14:paraId="0752F633" w14:textId="77777777">
      <w:r>
        <w:t>The primary output denominators refer to the same 57-variant graded population. Two explicit neutral fold expectations are included in the monomer-fold axis; both are prediction mismatches. Retaining every resource row adds the independently gradeable monomer-fold axis of BRCA1 R1699Q, giving 19/26 and 56/78, and changes the four-output continuity aggregate from 89/124 to 89/125. A separate rubric-only sensitivity that includes BRCA1 R1699L/Q raises weighted mechanism consistency from 39.5/57 to 41.5/59 because their phosphopeptide-recognition mechanism cannot be represented by the supplied monomer structure; it is therefore not used as the headline result.</w:t>
      </w:r>
    </w:p>
    <w:p w14:paraId="14BBB136" w14:textId="77777777">
      <w:pPr>
        <w:pStyle w:val="Heading2"/>
      </w:pPr>
      <w:r>
        <w:t>S3 Text. Mechanism-class decomposition, fold-arm errors, and ground-truth conventions</w:t>
      </w:r>
    </w:p>
    <w:p w14:paraId="7F8A1E4F" w14:textId="77777777">
      <w:r>
        <w:t>Weighted mechanism consistency differed by expected mechanism class: 0.833 for mixed structural expectations (n = 6), 0.828 for curated structurally silent variants (n = 29), 0.550 for the fold-mechanism class (n = 10), and 0.417 for pure interface destabilization (n = 12). The interface class was therefore the weakest arm, and it was also the weakest before the ledger correction (0.500 across the nine variants then in that class). Fold-arm errors separate into prediction misses and disagreements created by the sign-based ground-truth convention.</w:t>
      </w:r>
    </w:p>
    <w:p w14:paraId="70B9B7A7" w14:textId="77777777">
      <w:pPr>
        <w:pStyle w:val="Caption"/>
        <w:keepNext/>
      </w:pPr>
      <w:r>
        <w:t>S6 Table.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91"/>
        <w:gridCol w:w="1472"/>
        <w:gridCol w:w="1472"/>
        <w:gridCol w:w="1472"/>
        <w:gridCol w:w="4047"/>
      </w:tblGrid>
      <w:tr w14:paraId="76CFBA44" w14:textId="77777777">
        <w:trPr>
          <w:cantSplit/>
          <w:tblHeader/>
        </w:trPr>
        <w:tc>
          <w:tcPr>
            <w:tcW w:w="1655" w:type="dxa"/>
            <w:shd w:val="clear" w:color="auto" w:fill="173B59"/>
            <w:tcMar>
              <w:top w:w="60" w:type="dxa"/>
              <w:left w:w="80" w:type="dxa"/>
              <w:bottom w:w="60" w:type="dxa"/>
              <w:right w:w="80" w:type="dxa"/>
            </w:tcMar>
            <w:vAlign w:val="center"/>
          </w:tcPr>
          <w:p w14:paraId="1FC784B8" w14:textId="77777777">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w14:paraId="443B54D8" w14:textId="77777777">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w14:paraId="3332BFAE" w14:textId="77777777">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w14:paraId="3CF04E8D" w14:textId="77777777">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w14:paraId="6A0256FB" w14:textId="77777777">
            <w:pPr>
              <w:spacing w:after="0" w:line="240" w:lineRule="auto"/>
            </w:pPr>
            <w:r>
              <w:rPr>
                <w:b/>
                <w:sz w:val="15"/>
              </w:rPr>
              <w:t>Interpretation</w:t>
            </w:r>
          </w:p>
        </w:tc>
      </w:tr>
      <w:tr w14:paraId="04FB20A6" w14:textId="77777777">
        <w:trPr>
          <w:cantSplit/>
        </w:trPr>
        <w:tc>
          <w:tcPr>
            <w:tcW w:w="1655" w:type="dxa"/>
            <w:tcMar>
              <w:top w:w="60" w:type="dxa"/>
              <w:left w:w="80" w:type="dxa"/>
              <w:bottom w:w="60" w:type="dxa"/>
              <w:right w:w="80" w:type="dxa"/>
            </w:tcMar>
            <w:vAlign w:val="center"/>
          </w:tcPr>
          <w:p w14:paraId="1A29AFCD" w14:textId="77777777">
            <w:pPr>
              <w:spacing w:after="0" w:line="240" w:lineRule="auto"/>
            </w:pPr>
            <w:r>
              <w:rPr>
                <w:sz w:val="15"/>
              </w:rPr>
              <w:t>BRCA1 V1736A</w:t>
            </w:r>
          </w:p>
        </w:tc>
        <w:tc>
          <w:tcPr>
            <w:tcW w:w="1440" w:type="dxa"/>
            <w:tcMar>
              <w:top w:w="60" w:type="dxa"/>
              <w:left w:w="80" w:type="dxa"/>
              <w:bottom w:w="60" w:type="dxa"/>
              <w:right w:w="80" w:type="dxa"/>
            </w:tcMar>
            <w:vAlign w:val="center"/>
          </w:tcPr>
          <w:p w14:paraId="4C4A10EE"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507862E9" w14:textId="77777777">
            <w:pPr>
              <w:spacing w:after="0" w:line="240" w:lineRule="auto"/>
            </w:pPr>
            <w:r>
              <w:rPr>
                <w:sz w:val="15"/>
              </w:rPr>
              <w:t>4.20</w:t>
            </w:r>
          </w:p>
        </w:tc>
        <w:tc>
          <w:tcPr>
            <w:tcW w:w="1440" w:type="dxa"/>
            <w:tcMar>
              <w:top w:w="60" w:type="dxa"/>
              <w:left w:w="80" w:type="dxa"/>
              <w:bottom w:w="60" w:type="dxa"/>
              <w:right w:w="80" w:type="dxa"/>
            </w:tcMar>
            <w:vAlign w:val="center"/>
          </w:tcPr>
          <w:p w14:paraId="3577666D" w14:textId="77777777">
            <w:pPr>
              <w:spacing w:after="0" w:line="240" w:lineRule="auto"/>
            </w:pPr>
            <w:r>
              <w:rPr>
                <w:sz w:val="15"/>
              </w:rPr>
              <w:t>1.24</w:t>
            </w:r>
          </w:p>
        </w:tc>
        <w:tc>
          <w:tcPr>
            <w:tcW w:w="3960" w:type="dxa"/>
            <w:tcMar>
              <w:top w:w="60" w:type="dxa"/>
              <w:left w:w="80" w:type="dxa"/>
              <w:bottom w:w="60" w:type="dxa"/>
              <w:right w:w="80" w:type="dxa"/>
            </w:tcMar>
            <w:vAlign w:val="center"/>
          </w:tcPr>
          <w:p w14:paraId="40A13F03" w14:textId="77777777">
            <w:pPr>
              <w:spacing w:after="0" w:line="240" w:lineRule="auto"/>
            </w:pPr>
            <w:r>
              <w:rPr>
                <w:sz w:val="15"/>
              </w:rPr>
              <w:t>Genuine magnitude miss; false negative at 2.5.</w:t>
            </w:r>
          </w:p>
        </w:tc>
      </w:tr>
      <w:tr w14:paraId="3968F6FB" w14:textId="77777777">
        <w:trPr>
          <w:cantSplit/>
        </w:trPr>
        <w:tc>
          <w:tcPr>
            <w:tcW w:w="1655" w:type="dxa"/>
            <w:shd w:val="clear" w:color="auto" w:fill="EEF2F6"/>
            <w:tcMar>
              <w:top w:w="60" w:type="dxa"/>
              <w:left w:w="80" w:type="dxa"/>
              <w:bottom w:w="60" w:type="dxa"/>
              <w:right w:w="80" w:type="dxa"/>
            </w:tcMar>
            <w:vAlign w:val="center"/>
          </w:tcPr>
          <w:p w14:paraId="31202984" w14:textId="77777777">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w14:paraId="39E5830C"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34E131E3" w14:textId="77777777">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w14:paraId="3E4392BA" w14:textId="77777777">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w14:paraId="4160CB6D" w14:textId="77777777">
            <w:pPr>
              <w:spacing w:after="0" w:line="240" w:lineRule="auto"/>
            </w:pPr>
            <w:r>
              <w:rPr>
                <w:sz w:val="15"/>
              </w:rPr>
              <w:t>Genuine miss against the curated fold mechanism.</w:t>
            </w:r>
          </w:p>
        </w:tc>
      </w:tr>
      <w:tr w14:paraId="783AE2CA" w14:textId="77777777">
        <w:trPr>
          <w:cantSplit/>
        </w:trPr>
        <w:tc>
          <w:tcPr>
            <w:tcW w:w="1655" w:type="dxa"/>
            <w:tcMar>
              <w:top w:w="60" w:type="dxa"/>
              <w:left w:w="80" w:type="dxa"/>
              <w:bottom w:w="60" w:type="dxa"/>
              <w:right w:w="80" w:type="dxa"/>
            </w:tcMar>
            <w:vAlign w:val="center"/>
          </w:tcPr>
          <w:p w14:paraId="0AD7C19F" w14:textId="77777777">
            <w:pPr>
              <w:spacing w:after="0" w:line="240" w:lineRule="auto"/>
            </w:pPr>
            <w:r>
              <w:rPr>
                <w:sz w:val="15"/>
              </w:rPr>
              <w:t>BRCA1 R1751Q</w:t>
            </w:r>
          </w:p>
        </w:tc>
        <w:tc>
          <w:tcPr>
            <w:tcW w:w="1440" w:type="dxa"/>
            <w:tcMar>
              <w:top w:w="60" w:type="dxa"/>
              <w:left w:w="80" w:type="dxa"/>
              <w:bottom w:w="60" w:type="dxa"/>
              <w:right w:w="80" w:type="dxa"/>
            </w:tcMar>
            <w:vAlign w:val="center"/>
          </w:tcPr>
          <w:p w14:paraId="122B9A5A"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2DCD1AE8" w14:textId="77777777">
            <w:pPr>
              <w:spacing w:after="0" w:line="240" w:lineRule="auto"/>
            </w:pPr>
            <w:r>
              <w:rPr>
                <w:sz w:val="15"/>
              </w:rPr>
              <w:t>1.57</w:t>
            </w:r>
          </w:p>
        </w:tc>
        <w:tc>
          <w:tcPr>
            <w:tcW w:w="1440" w:type="dxa"/>
            <w:tcMar>
              <w:top w:w="60" w:type="dxa"/>
              <w:left w:w="80" w:type="dxa"/>
              <w:bottom w:w="60" w:type="dxa"/>
              <w:right w:w="80" w:type="dxa"/>
            </w:tcMar>
            <w:vAlign w:val="center"/>
          </w:tcPr>
          <w:p w14:paraId="308DF034" w14:textId="77777777">
            <w:pPr>
              <w:spacing w:after="0" w:line="240" w:lineRule="auto"/>
            </w:pPr>
            <w:r>
              <w:rPr>
                <w:sz w:val="15"/>
              </w:rPr>
              <w:t>0.73</w:t>
            </w:r>
          </w:p>
        </w:tc>
        <w:tc>
          <w:tcPr>
            <w:tcW w:w="3960" w:type="dxa"/>
            <w:tcMar>
              <w:top w:w="60" w:type="dxa"/>
              <w:left w:w="80" w:type="dxa"/>
              <w:bottom w:w="60" w:type="dxa"/>
              <w:right w:w="80" w:type="dxa"/>
            </w:tcMar>
            <w:vAlign w:val="center"/>
          </w:tcPr>
          <w:p w14:paraId="5044BE07" w14:textId="77777777">
            <w:pPr>
              <w:spacing w:after="0" w:line="240" w:lineRule="auto"/>
            </w:pPr>
            <w:r>
              <w:rPr>
                <w:sz w:val="15"/>
              </w:rPr>
              <w:t>Both values below 2.5; imperfect grade arises from sign-based ground truth.</w:t>
            </w:r>
          </w:p>
        </w:tc>
      </w:tr>
      <w:tr w14:paraId="337238BB" w14:textId="77777777">
        <w:trPr>
          <w:cantSplit/>
        </w:trPr>
        <w:tc>
          <w:tcPr>
            <w:tcW w:w="1655" w:type="dxa"/>
            <w:shd w:val="clear" w:color="auto" w:fill="EEF2F6"/>
            <w:tcMar>
              <w:top w:w="60" w:type="dxa"/>
              <w:left w:w="80" w:type="dxa"/>
              <w:bottom w:w="60" w:type="dxa"/>
              <w:right w:w="80" w:type="dxa"/>
            </w:tcMar>
            <w:vAlign w:val="center"/>
          </w:tcPr>
          <w:p w14:paraId="061B4DD5" w14:textId="77777777">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w14:paraId="60858DF6"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7EA40F4C" w14:textId="77777777">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w14:paraId="76EBDD41" w14:textId="77777777">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w14:paraId="5193F030" w14:textId="77777777">
            <w:pPr>
              <w:spacing w:after="0" w:line="240" w:lineRule="auto"/>
            </w:pPr>
            <w:r>
              <w:rPr>
                <w:sz w:val="15"/>
              </w:rPr>
              <w:t>Both values below 2.5; imperfect grade arises from sign-based ground truth.</w:t>
            </w:r>
          </w:p>
        </w:tc>
      </w:tr>
      <w:tr w14:paraId="0945FCEE" w14:textId="77777777">
        <w:trPr>
          <w:cantSplit/>
        </w:trPr>
        <w:tc>
          <w:tcPr>
            <w:tcW w:w="1655" w:type="dxa"/>
            <w:tcMar>
              <w:top w:w="60" w:type="dxa"/>
              <w:left w:w="80" w:type="dxa"/>
              <w:bottom w:w="60" w:type="dxa"/>
              <w:right w:w="80" w:type="dxa"/>
            </w:tcMar>
            <w:vAlign w:val="center"/>
          </w:tcPr>
          <w:p w14:paraId="3FF728DD" w14:textId="77777777">
            <w:pPr>
              <w:spacing w:after="0" w:line="240" w:lineRule="auto"/>
            </w:pPr>
            <w:r>
              <w:rPr>
                <w:sz w:val="15"/>
              </w:rPr>
              <w:t>HBB N102T</w:t>
            </w:r>
          </w:p>
        </w:tc>
        <w:tc>
          <w:tcPr>
            <w:tcW w:w="1440" w:type="dxa"/>
            <w:tcMar>
              <w:top w:w="60" w:type="dxa"/>
              <w:left w:w="80" w:type="dxa"/>
              <w:bottom w:w="60" w:type="dxa"/>
              <w:right w:w="80" w:type="dxa"/>
            </w:tcMar>
            <w:vAlign w:val="center"/>
          </w:tcPr>
          <w:p w14:paraId="07E77257" w14:textId="77777777">
            <w:pPr>
              <w:spacing w:after="0" w:line="240" w:lineRule="auto"/>
            </w:pPr>
            <w:r>
              <w:rPr>
                <w:sz w:val="15"/>
              </w:rPr>
              <w:t>Binding</w:t>
            </w:r>
          </w:p>
        </w:tc>
        <w:tc>
          <w:tcPr>
            <w:tcW w:w="1440" w:type="dxa"/>
            <w:tcMar>
              <w:top w:w="60" w:type="dxa"/>
              <w:left w:w="80" w:type="dxa"/>
              <w:bottom w:w="60" w:type="dxa"/>
              <w:right w:w="80" w:type="dxa"/>
            </w:tcMar>
            <w:vAlign w:val="center"/>
          </w:tcPr>
          <w:p w14:paraId="551A3518" w14:textId="77777777">
            <w:pPr>
              <w:spacing w:after="0" w:line="240" w:lineRule="auto"/>
            </w:pPr>
            <w:r>
              <w:rPr>
                <w:sz w:val="15"/>
              </w:rPr>
              <w:t>1.50</w:t>
            </w:r>
          </w:p>
        </w:tc>
        <w:tc>
          <w:tcPr>
            <w:tcW w:w="1440" w:type="dxa"/>
            <w:tcMar>
              <w:top w:w="60" w:type="dxa"/>
              <w:left w:w="80" w:type="dxa"/>
              <w:bottom w:w="60" w:type="dxa"/>
              <w:right w:w="80" w:type="dxa"/>
            </w:tcMar>
            <w:vAlign w:val="center"/>
          </w:tcPr>
          <w:p w14:paraId="6973AA1D" w14:textId="77777777">
            <w:pPr>
              <w:spacing w:after="0" w:line="240" w:lineRule="auto"/>
            </w:pPr>
            <w:r>
              <w:rPr>
                <w:sz w:val="15"/>
              </w:rPr>
              <w:t>-0.14</w:t>
            </w:r>
          </w:p>
        </w:tc>
        <w:tc>
          <w:tcPr>
            <w:tcW w:w="3960" w:type="dxa"/>
            <w:tcMar>
              <w:top w:w="60" w:type="dxa"/>
              <w:left w:w="80" w:type="dxa"/>
              <w:bottom w:w="60" w:type="dxa"/>
              <w:right w:w="80" w:type="dxa"/>
            </w:tcMar>
            <w:vAlign w:val="center"/>
          </w:tcPr>
          <w:p w14:paraId="155216EB" w14:textId="77777777">
            <w:pPr>
              <w:spacing w:after="0" w:line="240" w:lineRule="auto"/>
            </w:pPr>
            <w:r>
              <w:rPr>
                <w:sz w:val="15"/>
              </w:rPr>
              <w:t>Sub-threshold destabilization under the sign-based convention.</w:t>
            </w:r>
          </w:p>
        </w:tc>
      </w:tr>
      <w:tr w14:paraId="1F4D3ED5" w14:textId="77777777">
        <w:trPr>
          <w:cantSplit/>
        </w:trPr>
        <w:tc>
          <w:tcPr>
            <w:tcW w:w="1655" w:type="dxa"/>
            <w:shd w:val="clear" w:color="auto" w:fill="EEF2F6"/>
            <w:tcMar>
              <w:top w:w="60" w:type="dxa"/>
              <w:left w:w="80" w:type="dxa"/>
              <w:bottom w:w="60" w:type="dxa"/>
              <w:right w:w="80" w:type="dxa"/>
            </w:tcMar>
            <w:vAlign w:val="center"/>
          </w:tcPr>
          <w:p w14:paraId="5D04FBD8" w14:textId="77777777">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w14:paraId="233E6EF4" w14:textId="77777777">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w14:paraId="2D33462E" w14:textId="77777777">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w14:paraId="23182DC0" w14:textId="77777777">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w14:paraId="719FECD3" w14:textId="77777777">
            <w:pPr>
              <w:spacing w:after="0" w:line="240" w:lineRule="auto"/>
            </w:pPr>
            <w:r>
              <w:rPr>
                <w:sz w:val="15"/>
              </w:rPr>
              <w:t>Sub-threshold destabilization under the sign-based convention.</w:t>
            </w:r>
          </w:p>
        </w:tc>
      </w:tr>
      <w:tr w14:paraId="3255CAD0" w14:textId="77777777">
        <w:trPr>
          <w:cantSplit/>
        </w:trPr>
        <w:tc>
          <w:tcPr>
            <w:tcW w:w="1691" w:type="dxa"/>
          </w:tcPr>
          <w:p w14:paraId="717045AC" w14:textId="77777777">
            <w:pPr>
              <w:spacing w:after="0" w:line="240" w:lineRule="auto"/>
            </w:pPr>
            <w:r>
              <w:rPr>
                <w:sz w:val="15"/>
              </w:rPr>
              <w:t>MSH2 A636P</w:t>
            </w:r>
          </w:p>
        </w:tc>
        <w:tc>
          <w:tcPr>
            <w:tcW w:w="1472" w:type="dxa"/>
          </w:tcPr>
          <w:p w14:paraId="7B2DBE95" w14:textId="77777777">
            <w:pPr>
              <w:spacing w:after="0" w:line="240" w:lineRule="auto"/>
            </w:pPr>
            <w:r>
              <w:rPr>
                <w:sz w:val="15"/>
              </w:rPr>
              <w:t>Monomer and complex-context fold</w:t>
            </w:r>
          </w:p>
        </w:tc>
        <w:tc>
          <w:tcPr>
            <w:tcW w:w="1472" w:type="dxa"/>
          </w:tcPr>
          <w:p w14:paraId="24F557EF" w14:textId="77777777">
            <w:pPr>
              <w:spacing w:after="0" w:line="240" w:lineRule="auto"/>
            </w:pPr>
            <w:r>
              <w:rPr>
                <w:sz w:val="15"/>
              </w:rPr>
              <w:t>Neutral on both modeled fold axes</w:t>
            </w:r>
          </w:p>
        </w:tc>
        <w:tc>
          <w:tcPr>
            <w:tcW w:w="1472" w:type="dxa"/>
          </w:tcPr>
          <w:p w14:paraId="733B44C3" w14:textId="77777777">
            <w:pPr>
              <w:spacing w:after="0" w:line="240" w:lineRule="auto"/>
            </w:pPr>
            <w:r>
              <w:rPr>
                <w:sz w:val="15"/>
              </w:rPr>
              <w:t>4.89 / 5.38</w:t>
            </w:r>
          </w:p>
        </w:tc>
        <w:tc>
          <w:tcPr>
            <w:tcW w:w="4047" w:type="dxa"/>
          </w:tcPr>
          <w:p w14:paraId="43C9DDFB" w14:textId="77777777">
            <w:pPr>
              <w:spacing w:after="0" w:line="240" w:lineRule="auto"/>
            </w:pPr>
            <w:r>
              <w:rPr>
                <w:sz w:val="15"/>
              </w:rPr>
              <w:t>Literature-supported neutral expectations; false-positive fold signals. The mismatch-processing defect lies outside the modeled axes.</w:t>
            </w:r>
          </w:p>
        </w:tc>
      </w:tr>
    </w:tbl>
    <w:p w14:paraId="2052653B" w14:textId="77777777">
      <w:r>
        <w:t>Re-deriving ground truth at a measured threshold of 2.5 kcal/mol was examined but not adopted. It reduced the fold arm from n = 10 to n = 6 by transferring four variants to the benchmark-negative class. Because measured and FoldX scales are not interchangeable, the study retains the literature-defined sign convention and reports this sensitivity explicitly.</w:t>
      </w:r>
    </w:p>
    <w:p w14:paraId="14024FD8" w14:textId="77777777">
      <w:pPr>
        <w:pStyle w:val="Heading2"/>
      </w:pPr>
      <w:r>
        <w:t>S4 Text. Operating-point and calibration diagnostics</w:t>
      </w:r>
    </w:p>
    <w:p w14:paraId="37BDC8EB" w14:textId="77777777">
      <w:r>
        <w:t>The apparent pooled optimum depends on class mixture. The benchmark contains 28 variants with committed structural mechanisms and 29 benchmark negatives (structural fraction 0.491). Reweighting the classes moved the pooled optimum: 2.5 remained optimal only while the structural-class weight was below 0.563, above the benchmark's own structural fraction of 0.491. This analysis supports reporting a threshold menu rather than a universal optimum.</w:t>
      </w:r>
    </w:p>
    <w:p w14:paraId="06D1A2BC" w14:textId="77777777">
      <w:r>
        <w:t>In 10,000 paired whole-system resamples, mechanism recovery decreased from 0.714 (95% CI 0.553-0.821) at 1.0 to 0.500 at tSAP, whereas correct rejection increased from 0.448 at 1.0 to 0.862 (0.733-1.000) at tSAP. The probability that recovery fell, and the probability that rejection rose, were each 1.000. The direction of the curves is forced by thresholding, however; resampling quantifies the size of the exchange, not its existence.</w:t>
      </w:r>
    </w:p>
    <w:p w14:paraId="335CC516" w14:textId="77777777">
      <w:pPr>
        <w:pageBreakBefore/>
      </w:pPr>
      <w:r>
        <w:t>The mechanism-attribution menu also answers a different question from the 3 kcal/mol fold cutoff used for cellular-stability or degradation interpretation in MAVISp [4] and related MLH1 studies [50,51]. A predicted fold change below that cellular-abundance cutoff can still identify the correct structural axis for follow-up. We therefore retain the 3 kcal/mol comparison as endpoint context, not as a basis for selecting a COMAVI operating point.</w:t>
      </w:r>
    </w:p>
    <w:p w14:paraId="0901BF14" w14:textId="77777777">
      <w:pPr>
        <w:pStyle w:val="Caption"/>
        <w:keepNext/>
      </w:pPr>
      <w:r>
        <w:t>S7 Table.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53"/>
        <w:gridCol w:w="1704"/>
        <w:gridCol w:w="1704"/>
        <w:gridCol w:w="1334"/>
        <w:gridCol w:w="1409"/>
        <w:gridCol w:w="2150"/>
      </w:tblGrid>
      <w:tr w14:paraId="55029F4F" w14:textId="77777777">
        <w:trPr>
          <w:cantSplit/>
          <w:tblHeader/>
        </w:trPr>
        <w:tc>
          <w:tcPr>
            <w:tcW w:w="1800" w:type="dxa"/>
            <w:shd w:val="clear" w:color="auto" w:fill="173B59"/>
            <w:tcMar>
              <w:top w:w="60" w:type="dxa"/>
              <w:left w:w="80" w:type="dxa"/>
              <w:bottom w:w="60" w:type="dxa"/>
              <w:right w:w="80" w:type="dxa"/>
            </w:tcMar>
            <w:vAlign w:val="center"/>
          </w:tcPr>
          <w:p w14:paraId="230C0CD4" w14:textId="77777777">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w14:paraId="2054DB16" w14:textId="77777777">
            <w:pPr>
              <w:spacing w:after="0" w:line="240" w:lineRule="auto"/>
            </w:pPr>
            <w:r>
              <w:rPr>
                <w:b/>
                <w:color w:val="FFFFFF"/>
                <w:sz w:val="15"/>
              </w:rPr>
              <w:t>Mechanism recovery</w:t>
            </w:r>
          </w:p>
        </w:tc>
        <w:tc>
          <w:tcPr>
            <w:tcW w:w="1655" w:type="dxa"/>
            <w:shd w:val="clear" w:color="auto" w:fill="173B59"/>
            <w:tcMar>
              <w:top w:w="60" w:type="dxa"/>
              <w:left w:w="80" w:type="dxa"/>
              <w:bottom w:w="60" w:type="dxa"/>
              <w:right w:w="80" w:type="dxa"/>
            </w:tcMar>
            <w:vAlign w:val="center"/>
          </w:tcPr>
          <w:p w14:paraId="7265AC10" w14:textId="77777777">
            <w:pPr>
              <w:spacing w:after="0" w:line="240" w:lineRule="auto"/>
            </w:pPr>
            <w:r>
              <w:rPr>
                <w:b/>
                <w:color w:val="FFFFFF"/>
                <w:sz w:val="15"/>
              </w:rPr>
              <w:t>Correct rejection</w:t>
            </w:r>
          </w:p>
        </w:tc>
        <w:tc>
          <w:tcPr>
            <w:tcW w:w="1296" w:type="dxa"/>
            <w:shd w:val="clear" w:color="auto" w:fill="173B59"/>
            <w:tcMar>
              <w:top w:w="60" w:type="dxa"/>
              <w:left w:w="80" w:type="dxa"/>
              <w:bottom w:w="60" w:type="dxa"/>
              <w:right w:w="80" w:type="dxa"/>
            </w:tcMar>
            <w:vAlign w:val="center"/>
          </w:tcPr>
          <w:p w14:paraId="4186D02F" w14:textId="77777777">
            <w:pPr>
              <w:spacing w:after="0" w:line="240" w:lineRule="auto"/>
            </w:pPr>
            <w:r>
              <w:rPr>
                <w:b/>
                <w:color w:val="FFFFFF"/>
                <w:sz w:val="15"/>
              </w:rPr>
              <w:t>Pooled MC</w:t>
            </w:r>
          </w:p>
        </w:tc>
        <w:tc>
          <w:tcPr>
            <w:tcW w:w="1368" w:type="dxa"/>
            <w:shd w:val="clear" w:color="auto" w:fill="173B59"/>
            <w:tcMar>
              <w:top w:w="60" w:type="dxa"/>
              <w:left w:w="80" w:type="dxa"/>
              <w:bottom w:w="60" w:type="dxa"/>
              <w:right w:w="80" w:type="dxa"/>
            </w:tcMar>
            <w:vAlign w:val="center"/>
          </w:tcPr>
          <w:p w14:paraId="6BED63FA" w14:textId="77777777">
            <w:pPr>
              <w:spacing w:after="0" w:line="240" w:lineRule="auto"/>
            </w:pPr>
            <w:r>
              <w:rPr>
                <w:b/>
                <w:color w:val="FFFFFF"/>
                <w:sz w:val="15"/>
              </w:rPr>
              <w:t>Balanced MC</w:t>
            </w:r>
          </w:p>
        </w:tc>
        <w:tc>
          <w:tcPr>
            <w:tcW w:w="2088" w:type="dxa"/>
            <w:shd w:val="clear" w:color="auto" w:fill="173B59"/>
            <w:tcMar>
              <w:top w:w="60" w:type="dxa"/>
              <w:left w:w="80" w:type="dxa"/>
              <w:bottom w:w="60" w:type="dxa"/>
              <w:right w:w="80" w:type="dxa"/>
            </w:tcMar>
            <w:vAlign w:val="center"/>
          </w:tcPr>
          <w:p w14:paraId="0D2163E9" w14:textId="77777777">
            <w:pPr>
              <w:spacing w:after="0" w:line="240" w:lineRule="auto"/>
            </w:pPr>
            <w:r>
              <w:rPr>
                <w:b/>
                <w:color w:val="FFFFFF"/>
                <w:sz w:val="15"/>
              </w:rPr>
              <w:t>Measured effects recovered</w:t>
            </w:r>
          </w:p>
        </w:tc>
      </w:tr>
      <w:tr w14:paraId="05FED77F" w14:textId="77777777">
        <w:trPr>
          <w:cantSplit/>
        </w:trPr>
        <w:tc>
          <w:tcPr>
            <w:tcW w:w="1800" w:type="dxa"/>
            <w:tcMar>
              <w:top w:w="60" w:type="dxa"/>
              <w:left w:w="80" w:type="dxa"/>
              <w:bottom w:w="60" w:type="dxa"/>
              <w:right w:w="80" w:type="dxa"/>
            </w:tcMar>
            <w:vAlign w:val="center"/>
          </w:tcPr>
          <w:p w14:paraId="60A68658" w14:textId="77777777">
            <w:pPr>
              <w:spacing w:after="0" w:line="240" w:lineRule="auto"/>
            </w:pPr>
            <w:r>
              <w:rPr>
                <w:sz w:val="15"/>
              </w:rPr>
              <w:t>1.0 default</w:t>
            </w:r>
          </w:p>
        </w:tc>
        <w:tc>
          <w:tcPr>
            <w:tcW w:w="1655" w:type="dxa"/>
            <w:tcMar>
              <w:top w:w="60" w:type="dxa"/>
              <w:left w:w="80" w:type="dxa"/>
              <w:bottom w:w="60" w:type="dxa"/>
              <w:right w:w="80" w:type="dxa"/>
            </w:tcMar>
            <w:vAlign w:val="center"/>
          </w:tcPr>
          <w:p w14:paraId="6F7CC657" w14:textId="77777777">
            <w:pPr>
              <w:spacing w:after="0" w:line="240" w:lineRule="auto"/>
            </w:pPr>
            <w:r>
              <w:rPr>
                <w:sz w:val="15"/>
              </w:rPr>
              <w:t>0.714</w:t>
            </w:r>
          </w:p>
        </w:tc>
        <w:tc>
          <w:tcPr>
            <w:tcW w:w="1655" w:type="dxa"/>
            <w:tcMar>
              <w:top w:w="60" w:type="dxa"/>
              <w:left w:w="80" w:type="dxa"/>
              <w:bottom w:w="60" w:type="dxa"/>
              <w:right w:w="80" w:type="dxa"/>
            </w:tcMar>
            <w:vAlign w:val="center"/>
          </w:tcPr>
          <w:p w14:paraId="20D1F8C9" w14:textId="77777777">
            <w:pPr>
              <w:spacing w:after="0" w:line="240" w:lineRule="auto"/>
            </w:pPr>
            <w:r>
              <w:rPr>
                <w:sz w:val="15"/>
              </w:rPr>
              <w:t>0.448</w:t>
            </w:r>
          </w:p>
        </w:tc>
        <w:tc>
          <w:tcPr>
            <w:tcW w:w="1296" w:type="dxa"/>
            <w:tcMar>
              <w:top w:w="60" w:type="dxa"/>
              <w:left w:w="80" w:type="dxa"/>
              <w:bottom w:w="60" w:type="dxa"/>
              <w:right w:w="80" w:type="dxa"/>
            </w:tcMar>
            <w:vAlign w:val="center"/>
          </w:tcPr>
          <w:p w14:paraId="3241F031" w14:textId="77777777">
            <w:pPr>
              <w:spacing w:after="0" w:line="240" w:lineRule="auto"/>
            </w:pPr>
            <w:r>
              <w:rPr>
                <w:sz w:val="15"/>
              </w:rPr>
              <w:t>0.579</w:t>
            </w:r>
          </w:p>
        </w:tc>
        <w:tc>
          <w:tcPr>
            <w:tcW w:w="1368" w:type="dxa"/>
            <w:tcMar>
              <w:top w:w="60" w:type="dxa"/>
              <w:left w:w="80" w:type="dxa"/>
              <w:bottom w:w="60" w:type="dxa"/>
              <w:right w:w="80" w:type="dxa"/>
            </w:tcMar>
            <w:vAlign w:val="center"/>
          </w:tcPr>
          <w:p w14:paraId="26A851FB" w14:textId="77777777">
            <w:pPr>
              <w:spacing w:after="0" w:line="240" w:lineRule="auto"/>
            </w:pPr>
            <w:r>
              <w:rPr>
                <w:sz w:val="15"/>
              </w:rPr>
              <w:t>0.581</w:t>
            </w:r>
          </w:p>
        </w:tc>
        <w:tc>
          <w:tcPr>
            <w:tcW w:w="2088" w:type="dxa"/>
            <w:tcMar>
              <w:top w:w="60" w:type="dxa"/>
              <w:left w:w="80" w:type="dxa"/>
              <w:bottom w:w="60" w:type="dxa"/>
              <w:right w:w="80" w:type="dxa"/>
            </w:tcMar>
            <w:vAlign w:val="center"/>
          </w:tcPr>
          <w:p w14:paraId="225DDD48" w14:textId="77777777">
            <w:pPr>
              <w:spacing w:after="0" w:line="240" w:lineRule="auto"/>
            </w:pPr>
            <w:r>
              <w:rPr>
                <w:sz w:val="15"/>
              </w:rPr>
              <w:t>35/44</w:t>
            </w:r>
          </w:p>
        </w:tc>
      </w:tr>
      <w:tr w14:paraId="3635C299" w14:textId="77777777">
        <w:trPr>
          <w:cantSplit/>
        </w:trPr>
        <w:tc>
          <w:tcPr>
            <w:tcW w:w="1800" w:type="dxa"/>
            <w:shd w:val="clear" w:color="auto" w:fill="EEF2F6"/>
            <w:tcMar>
              <w:top w:w="60" w:type="dxa"/>
              <w:left w:w="80" w:type="dxa"/>
              <w:bottom w:w="60" w:type="dxa"/>
              <w:right w:w="80" w:type="dxa"/>
            </w:tcMar>
            <w:vAlign w:val="center"/>
          </w:tcPr>
          <w:p w14:paraId="1C9DC96D" w14:textId="77777777">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w14:paraId="6C452D77" w14:textId="77777777">
            <w:pPr>
              <w:spacing w:after="0" w:line="240" w:lineRule="auto"/>
            </w:pPr>
            <w:r>
              <w:rPr>
                <w:sz w:val="15"/>
              </w:rPr>
              <w:t>0.679</w:t>
            </w:r>
          </w:p>
        </w:tc>
        <w:tc>
          <w:tcPr>
            <w:tcW w:w="1655" w:type="dxa"/>
            <w:shd w:val="clear" w:color="auto" w:fill="EEF2F6"/>
            <w:tcMar>
              <w:top w:w="60" w:type="dxa"/>
              <w:left w:w="80" w:type="dxa"/>
              <w:bottom w:w="60" w:type="dxa"/>
              <w:right w:w="80" w:type="dxa"/>
            </w:tcMar>
            <w:vAlign w:val="center"/>
          </w:tcPr>
          <w:p w14:paraId="34EE2A63" w14:textId="77777777">
            <w:pPr>
              <w:spacing w:after="0" w:line="240" w:lineRule="auto"/>
            </w:pPr>
            <w:r>
              <w:rPr>
                <w:sz w:val="15"/>
              </w:rPr>
              <w:t>0.621</w:t>
            </w:r>
          </w:p>
        </w:tc>
        <w:tc>
          <w:tcPr>
            <w:tcW w:w="1296" w:type="dxa"/>
            <w:shd w:val="clear" w:color="auto" w:fill="EEF2F6"/>
            <w:tcMar>
              <w:top w:w="60" w:type="dxa"/>
              <w:left w:w="80" w:type="dxa"/>
              <w:bottom w:w="60" w:type="dxa"/>
              <w:right w:w="80" w:type="dxa"/>
            </w:tcMar>
            <w:vAlign w:val="center"/>
          </w:tcPr>
          <w:p w14:paraId="2FDCF10E" w14:textId="77777777">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w14:paraId="4A187ECD" w14:textId="77777777">
            <w:pPr>
              <w:spacing w:after="0" w:line="240" w:lineRule="auto"/>
            </w:pPr>
            <w:r>
              <w:rPr>
                <w:sz w:val="15"/>
              </w:rPr>
              <w:t>0.650</w:t>
            </w:r>
          </w:p>
        </w:tc>
        <w:tc>
          <w:tcPr>
            <w:tcW w:w="2088" w:type="dxa"/>
            <w:shd w:val="clear" w:color="auto" w:fill="EEF2F6"/>
            <w:tcMar>
              <w:top w:w="60" w:type="dxa"/>
              <w:left w:w="80" w:type="dxa"/>
              <w:bottom w:w="60" w:type="dxa"/>
              <w:right w:w="80" w:type="dxa"/>
            </w:tcMar>
            <w:vAlign w:val="center"/>
          </w:tcPr>
          <w:p w14:paraId="28C55AB6" w14:textId="77777777">
            <w:pPr>
              <w:spacing w:after="0" w:line="240" w:lineRule="auto"/>
            </w:pPr>
            <w:r>
              <w:rPr>
                <w:sz w:val="15"/>
              </w:rPr>
              <w:t>26/44</w:t>
            </w:r>
          </w:p>
        </w:tc>
      </w:tr>
      <w:tr w14:paraId="041A6825" w14:textId="77777777">
        <w:trPr>
          <w:cantSplit/>
        </w:trPr>
        <w:tc>
          <w:tcPr>
            <w:tcW w:w="1800" w:type="dxa"/>
            <w:tcMar>
              <w:top w:w="60" w:type="dxa"/>
              <w:left w:w="80" w:type="dxa"/>
              <w:bottom w:w="60" w:type="dxa"/>
              <w:right w:w="80" w:type="dxa"/>
            </w:tcMar>
            <w:vAlign w:val="center"/>
          </w:tcPr>
          <w:p w14:paraId="47773030" w14:textId="77777777">
            <w:pPr>
              <w:spacing w:after="0" w:line="240" w:lineRule="auto"/>
            </w:pPr>
            <w:r>
              <w:rPr>
                <w:sz w:val="15"/>
              </w:rPr>
              <w:t>2.0</w:t>
            </w:r>
          </w:p>
        </w:tc>
        <w:tc>
          <w:tcPr>
            <w:tcW w:w="1655" w:type="dxa"/>
            <w:tcMar>
              <w:top w:w="60" w:type="dxa"/>
              <w:left w:w="80" w:type="dxa"/>
              <w:bottom w:w="60" w:type="dxa"/>
              <w:right w:w="80" w:type="dxa"/>
            </w:tcMar>
            <w:vAlign w:val="center"/>
          </w:tcPr>
          <w:p w14:paraId="42807BA7" w14:textId="77777777">
            <w:pPr>
              <w:spacing w:after="0" w:line="240" w:lineRule="auto"/>
            </w:pPr>
            <w:r>
              <w:rPr>
                <w:sz w:val="15"/>
              </w:rPr>
              <w:t>0.607</w:t>
            </w:r>
          </w:p>
        </w:tc>
        <w:tc>
          <w:tcPr>
            <w:tcW w:w="1655" w:type="dxa"/>
            <w:tcMar>
              <w:top w:w="60" w:type="dxa"/>
              <w:left w:w="80" w:type="dxa"/>
              <w:bottom w:w="60" w:type="dxa"/>
              <w:right w:w="80" w:type="dxa"/>
            </w:tcMar>
            <w:vAlign w:val="center"/>
          </w:tcPr>
          <w:p w14:paraId="561483D1" w14:textId="77777777">
            <w:pPr>
              <w:spacing w:after="0" w:line="240" w:lineRule="auto"/>
            </w:pPr>
            <w:r>
              <w:rPr>
                <w:sz w:val="15"/>
              </w:rPr>
              <w:t>0.759</w:t>
            </w:r>
          </w:p>
        </w:tc>
        <w:tc>
          <w:tcPr>
            <w:tcW w:w="1296" w:type="dxa"/>
            <w:tcMar>
              <w:top w:w="60" w:type="dxa"/>
              <w:left w:w="80" w:type="dxa"/>
              <w:bottom w:w="60" w:type="dxa"/>
              <w:right w:w="80" w:type="dxa"/>
            </w:tcMar>
            <w:vAlign w:val="center"/>
          </w:tcPr>
          <w:p w14:paraId="6C11D412" w14:textId="77777777">
            <w:pPr>
              <w:spacing w:after="0" w:line="240" w:lineRule="auto"/>
            </w:pPr>
            <w:r>
              <w:rPr>
                <w:sz w:val="15"/>
              </w:rPr>
              <w:t>0.684</w:t>
            </w:r>
          </w:p>
        </w:tc>
        <w:tc>
          <w:tcPr>
            <w:tcW w:w="1368" w:type="dxa"/>
            <w:tcMar>
              <w:top w:w="60" w:type="dxa"/>
              <w:left w:w="80" w:type="dxa"/>
              <w:bottom w:w="60" w:type="dxa"/>
              <w:right w:w="80" w:type="dxa"/>
            </w:tcMar>
            <w:vAlign w:val="center"/>
          </w:tcPr>
          <w:p w14:paraId="0301AD01" w14:textId="77777777">
            <w:pPr>
              <w:spacing w:after="0" w:line="240" w:lineRule="auto"/>
            </w:pPr>
            <w:r>
              <w:rPr>
                <w:sz w:val="15"/>
              </w:rPr>
              <w:t>0.683</w:t>
            </w:r>
          </w:p>
        </w:tc>
        <w:tc>
          <w:tcPr>
            <w:tcW w:w="2088" w:type="dxa"/>
            <w:tcMar>
              <w:top w:w="60" w:type="dxa"/>
              <w:left w:w="80" w:type="dxa"/>
              <w:bottom w:w="60" w:type="dxa"/>
              <w:right w:w="80" w:type="dxa"/>
            </w:tcMar>
            <w:vAlign w:val="center"/>
          </w:tcPr>
          <w:p w14:paraId="7256B994" w14:textId="77777777">
            <w:pPr>
              <w:spacing w:after="0" w:line="240" w:lineRule="auto"/>
            </w:pPr>
            <w:r>
              <w:rPr>
                <w:sz w:val="15"/>
              </w:rPr>
              <w:t>19/44</w:t>
            </w:r>
          </w:p>
        </w:tc>
      </w:tr>
      <w:tr w14:paraId="5C21EF38" w14:textId="77777777">
        <w:trPr>
          <w:cantSplit/>
        </w:trPr>
        <w:tc>
          <w:tcPr>
            <w:tcW w:w="1800" w:type="dxa"/>
            <w:shd w:val="clear" w:color="auto" w:fill="EEF2F6"/>
            <w:tcMar>
              <w:top w:w="60" w:type="dxa"/>
              <w:left w:w="80" w:type="dxa"/>
              <w:bottom w:w="60" w:type="dxa"/>
              <w:right w:w="80" w:type="dxa"/>
            </w:tcMar>
            <w:vAlign w:val="center"/>
          </w:tcPr>
          <w:p w14:paraId="041A03ED" w14:textId="77777777">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w14:paraId="75153C37" w14:textId="77777777">
            <w:pPr>
              <w:spacing w:after="0" w:line="240" w:lineRule="auto"/>
            </w:pPr>
            <w:r>
              <w:rPr>
                <w:sz w:val="15"/>
              </w:rPr>
              <w:t>0.554</w:t>
            </w:r>
          </w:p>
        </w:tc>
        <w:tc>
          <w:tcPr>
            <w:tcW w:w="1655" w:type="dxa"/>
            <w:shd w:val="clear" w:color="auto" w:fill="EEF2F6"/>
            <w:tcMar>
              <w:top w:w="60" w:type="dxa"/>
              <w:left w:w="80" w:type="dxa"/>
              <w:bottom w:w="60" w:type="dxa"/>
              <w:right w:w="80" w:type="dxa"/>
            </w:tcMar>
            <w:vAlign w:val="center"/>
          </w:tcPr>
          <w:p w14:paraId="4AB3EEC2" w14:textId="77777777">
            <w:pPr>
              <w:spacing w:after="0" w:line="240" w:lineRule="auto"/>
            </w:pPr>
            <w:r>
              <w:rPr>
                <w:sz w:val="15"/>
              </w:rPr>
              <w:t>0.828</w:t>
            </w:r>
          </w:p>
        </w:tc>
        <w:tc>
          <w:tcPr>
            <w:tcW w:w="1296" w:type="dxa"/>
            <w:shd w:val="clear" w:color="auto" w:fill="EEF2F6"/>
            <w:tcMar>
              <w:top w:w="60" w:type="dxa"/>
              <w:left w:w="80" w:type="dxa"/>
              <w:bottom w:w="60" w:type="dxa"/>
              <w:right w:w="80" w:type="dxa"/>
            </w:tcMar>
            <w:vAlign w:val="center"/>
          </w:tcPr>
          <w:p w14:paraId="73DB6E27" w14:textId="77777777">
            <w:pPr>
              <w:spacing w:after="0" w:line="240" w:lineRule="auto"/>
            </w:pPr>
            <w:r>
              <w:rPr>
                <w:sz w:val="15"/>
              </w:rPr>
              <w:t>0.693</w:t>
            </w:r>
          </w:p>
        </w:tc>
        <w:tc>
          <w:tcPr>
            <w:tcW w:w="1368" w:type="dxa"/>
            <w:shd w:val="clear" w:color="auto" w:fill="EEF2F6"/>
            <w:tcMar>
              <w:top w:w="60" w:type="dxa"/>
              <w:left w:w="80" w:type="dxa"/>
              <w:bottom w:w="60" w:type="dxa"/>
              <w:right w:w="80" w:type="dxa"/>
            </w:tcMar>
            <w:vAlign w:val="center"/>
          </w:tcPr>
          <w:p w14:paraId="441DBAAA" w14:textId="77777777">
            <w:pPr>
              <w:spacing w:after="0" w:line="240" w:lineRule="auto"/>
            </w:pPr>
            <w:r>
              <w:rPr>
                <w:sz w:val="15"/>
              </w:rPr>
              <w:t>0.691</w:t>
            </w:r>
          </w:p>
        </w:tc>
        <w:tc>
          <w:tcPr>
            <w:tcW w:w="2088" w:type="dxa"/>
            <w:shd w:val="clear" w:color="auto" w:fill="EEF2F6"/>
            <w:tcMar>
              <w:top w:w="60" w:type="dxa"/>
              <w:left w:w="80" w:type="dxa"/>
              <w:bottom w:w="60" w:type="dxa"/>
              <w:right w:w="80" w:type="dxa"/>
            </w:tcMar>
            <w:vAlign w:val="center"/>
          </w:tcPr>
          <w:p w14:paraId="438EE632" w14:textId="77777777">
            <w:pPr>
              <w:spacing w:after="0" w:line="240" w:lineRule="auto"/>
            </w:pPr>
            <w:r>
              <w:rPr>
                <w:sz w:val="15"/>
              </w:rPr>
              <w:t>13/44</w:t>
            </w:r>
          </w:p>
        </w:tc>
      </w:tr>
      <w:tr w14:paraId="18BA7008" w14:textId="77777777">
        <w:trPr>
          <w:cantSplit/>
        </w:trPr>
        <w:tc>
          <w:tcPr>
            <w:tcW w:w="1800" w:type="dxa"/>
            <w:tcMar>
              <w:top w:w="60" w:type="dxa"/>
              <w:left w:w="80" w:type="dxa"/>
              <w:bottom w:w="60" w:type="dxa"/>
              <w:right w:w="80" w:type="dxa"/>
            </w:tcMar>
            <w:vAlign w:val="center"/>
          </w:tcPr>
          <w:p w14:paraId="1CE31621" w14:textId="77777777">
            <w:pPr>
              <w:spacing w:after="0" w:line="240" w:lineRule="auto"/>
            </w:pPr>
            <w:r>
              <w:rPr>
                <w:sz w:val="15"/>
              </w:rPr>
              <w:t>tSAP</w:t>
            </w:r>
          </w:p>
        </w:tc>
        <w:tc>
          <w:tcPr>
            <w:tcW w:w="1655" w:type="dxa"/>
            <w:tcMar>
              <w:top w:w="60" w:type="dxa"/>
              <w:left w:w="80" w:type="dxa"/>
              <w:bottom w:w="60" w:type="dxa"/>
              <w:right w:w="80" w:type="dxa"/>
            </w:tcMar>
            <w:vAlign w:val="center"/>
          </w:tcPr>
          <w:p w14:paraId="4ED4C136" w14:textId="77777777">
            <w:pPr>
              <w:spacing w:after="0" w:line="240" w:lineRule="auto"/>
            </w:pPr>
            <w:r>
              <w:rPr>
                <w:sz w:val="15"/>
              </w:rPr>
              <w:t>0.500</w:t>
            </w:r>
          </w:p>
        </w:tc>
        <w:tc>
          <w:tcPr>
            <w:tcW w:w="1655" w:type="dxa"/>
            <w:tcMar>
              <w:top w:w="60" w:type="dxa"/>
              <w:left w:w="80" w:type="dxa"/>
              <w:bottom w:w="60" w:type="dxa"/>
              <w:right w:w="80" w:type="dxa"/>
            </w:tcMar>
            <w:vAlign w:val="center"/>
          </w:tcPr>
          <w:p w14:paraId="53050A8F" w14:textId="77777777">
            <w:pPr>
              <w:spacing w:after="0" w:line="240" w:lineRule="auto"/>
            </w:pPr>
            <w:r>
              <w:rPr>
                <w:sz w:val="15"/>
              </w:rPr>
              <w:t>0.862</w:t>
            </w:r>
          </w:p>
        </w:tc>
        <w:tc>
          <w:tcPr>
            <w:tcW w:w="1296" w:type="dxa"/>
            <w:tcMar>
              <w:top w:w="60" w:type="dxa"/>
              <w:left w:w="80" w:type="dxa"/>
              <w:bottom w:w="60" w:type="dxa"/>
              <w:right w:w="80" w:type="dxa"/>
            </w:tcMar>
            <w:vAlign w:val="center"/>
          </w:tcPr>
          <w:p w14:paraId="0372F6E8" w14:textId="77777777">
            <w:pPr>
              <w:spacing w:after="0" w:line="240" w:lineRule="auto"/>
            </w:pPr>
            <w:r>
              <w:rPr>
                <w:sz w:val="15"/>
              </w:rPr>
              <w:t>0.684</w:t>
            </w:r>
          </w:p>
        </w:tc>
        <w:tc>
          <w:tcPr>
            <w:tcW w:w="1368" w:type="dxa"/>
            <w:tcMar>
              <w:top w:w="60" w:type="dxa"/>
              <w:left w:w="80" w:type="dxa"/>
              <w:bottom w:w="60" w:type="dxa"/>
              <w:right w:w="80" w:type="dxa"/>
            </w:tcMar>
            <w:vAlign w:val="center"/>
          </w:tcPr>
          <w:p w14:paraId="6C76C56C" w14:textId="77777777">
            <w:pPr>
              <w:spacing w:after="0" w:line="240" w:lineRule="auto"/>
            </w:pPr>
            <w:r>
              <w:rPr>
                <w:sz w:val="15"/>
              </w:rPr>
              <w:t>0.681</w:t>
            </w:r>
          </w:p>
        </w:tc>
        <w:tc>
          <w:tcPr>
            <w:tcW w:w="2088" w:type="dxa"/>
            <w:tcMar>
              <w:top w:w="60" w:type="dxa"/>
              <w:left w:w="80" w:type="dxa"/>
              <w:bottom w:w="60" w:type="dxa"/>
              <w:right w:w="80" w:type="dxa"/>
            </w:tcMar>
            <w:vAlign w:val="center"/>
          </w:tcPr>
          <w:p w14:paraId="2380A158" w14:textId="77777777">
            <w:pPr>
              <w:spacing w:after="0" w:line="240" w:lineRule="auto"/>
            </w:pPr>
            <w:r>
              <w:rPr>
                <w:sz w:val="15"/>
              </w:rPr>
              <w:t>12/44</w:t>
            </w:r>
          </w:p>
        </w:tc>
      </w:tr>
    </w:tbl>
    <w:p w14:paraId="4368AC30" w14:textId="77777777">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w14:paraId="21A279A4" w14:textId="77777777">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w14:paraId="71215800" w14:textId="77777777">
      <w:pPr>
        <w:pStyle w:val="Caption"/>
        <w:keepNext/>
      </w:pPr>
      <w:r>
        <w:t>S8 Table.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0"/>
        <w:gridCol w:w="526"/>
        <w:gridCol w:w="3686"/>
        <w:gridCol w:w="1881"/>
        <w:gridCol w:w="1881"/>
      </w:tblGrid>
      <w:tr w14:paraId="4C8FCA3F" w14:textId="77777777">
        <w:trPr>
          <w:cantSplit/>
          <w:tblHeader/>
        </w:trPr>
        <w:tc>
          <w:tcPr>
            <w:tcW w:w="2088" w:type="dxa"/>
            <w:shd w:val="clear" w:color="auto" w:fill="173B59"/>
            <w:tcMar>
              <w:top w:w="60" w:type="dxa"/>
              <w:left w:w="80" w:type="dxa"/>
              <w:bottom w:w="60" w:type="dxa"/>
              <w:right w:w="80" w:type="dxa"/>
            </w:tcMar>
            <w:vAlign w:val="center"/>
          </w:tcPr>
          <w:p w14:paraId="2739E685" w14:textId="77777777">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w14:paraId="734D5328" w14:textId="77777777">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w14:paraId="787C135F" w14:textId="77777777">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w14:paraId="4B002ECE" w14:textId="77777777">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w14:paraId="61106216" w14:textId="77777777">
            <w:pPr>
              <w:spacing w:after="0" w:line="240" w:lineRule="auto"/>
            </w:pPr>
            <w:r>
              <w:rPr>
                <w:b/>
                <w:color w:val="FFFFFF"/>
                <w:sz w:val="15"/>
              </w:rPr>
              <w:t>Benchmark examples</w:t>
            </w:r>
          </w:p>
        </w:tc>
      </w:tr>
      <w:tr w14:paraId="2BA72998" w14:textId="77777777">
        <w:trPr>
          <w:cantSplit/>
        </w:trPr>
        <w:tc>
          <w:tcPr>
            <w:tcW w:w="2088" w:type="dxa"/>
            <w:tcMar>
              <w:top w:w="60" w:type="dxa"/>
              <w:left w:w="80" w:type="dxa"/>
              <w:bottom w:w="60" w:type="dxa"/>
              <w:right w:w="80" w:type="dxa"/>
            </w:tcMar>
            <w:vAlign w:val="center"/>
          </w:tcPr>
          <w:p w14:paraId="434EAE13" w14:textId="77777777">
            <w:pPr>
              <w:spacing w:after="0" w:line="240" w:lineRule="auto"/>
            </w:pPr>
            <w:r>
              <w:rPr>
                <w:sz w:val="15"/>
              </w:rPr>
              <w:t>Agreement</w:t>
            </w:r>
          </w:p>
        </w:tc>
        <w:tc>
          <w:tcPr>
            <w:tcW w:w="503" w:type="dxa"/>
            <w:tcMar>
              <w:top w:w="60" w:type="dxa"/>
              <w:left w:w="80" w:type="dxa"/>
              <w:bottom w:w="60" w:type="dxa"/>
              <w:right w:w="80" w:type="dxa"/>
            </w:tcMar>
            <w:vAlign w:val="center"/>
          </w:tcPr>
          <w:p w14:paraId="3C78EAEA" w14:textId="77777777">
            <w:pPr>
              <w:spacing w:after="0" w:line="240" w:lineRule="auto"/>
            </w:pPr>
            <w:r>
              <w:rPr>
                <w:sz w:val="15"/>
              </w:rPr>
              <w:t>38</w:t>
            </w:r>
          </w:p>
        </w:tc>
        <w:tc>
          <w:tcPr>
            <w:tcW w:w="3528" w:type="dxa"/>
            <w:tcMar>
              <w:top w:w="60" w:type="dxa"/>
              <w:left w:w="80" w:type="dxa"/>
              <w:bottom w:w="60" w:type="dxa"/>
              <w:right w:w="80" w:type="dxa"/>
            </w:tcMar>
            <w:vAlign w:val="center"/>
          </w:tcPr>
          <w:p w14:paraId="05D8EEF3" w14:textId="77777777">
            <w:pPr>
              <w:spacing w:after="0" w:line="240" w:lineRule="auto"/>
            </w:pPr>
            <w:r>
              <w:rPr>
                <w:sz w:val="15"/>
              </w:rPr>
              <w:t>Measured and predicted calls agree.</w:t>
            </w:r>
          </w:p>
        </w:tc>
        <w:tc>
          <w:tcPr>
            <w:tcW w:w="1800" w:type="dxa"/>
            <w:tcMar>
              <w:top w:w="60" w:type="dxa"/>
              <w:left w:w="80" w:type="dxa"/>
              <w:bottom w:w="60" w:type="dxa"/>
              <w:right w:w="80" w:type="dxa"/>
            </w:tcMar>
            <w:vAlign w:val="center"/>
          </w:tcPr>
          <w:p w14:paraId="6E538EE1" w14:textId="77777777">
            <w:pPr>
              <w:spacing w:after="0" w:line="240" w:lineRule="auto"/>
            </w:pPr>
            <w:r>
              <w:rPr>
                <w:sz w:val="15"/>
              </w:rPr>
              <w:t>0.67 kcal/mol</w:t>
            </w:r>
          </w:p>
        </w:tc>
        <w:tc>
          <w:tcPr>
            <w:tcW w:w="1800" w:type="dxa"/>
            <w:tcMar>
              <w:top w:w="60" w:type="dxa"/>
              <w:left w:w="80" w:type="dxa"/>
              <w:bottom w:w="60" w:type="dxa"/>
              <w:right w:w="80" w:type="dxa"/>
            </w:tcMar>
            <w:vAlign w:val="center"/>
          </w:tcPr>
          <w:p w14:paraId="169D4D32" w14:textId="77777777">
            <w:pPr>
              <w:spacing w:after="0" w:line="240" w:lineRule="auto"/>
            </w:pPr>
            <w:r>
              <w:rPr>
                <w:sz w:val="15"/>
              </w:rPr>
              <w:t>Most comparisons</w:t>
            </w:r>
          </w:p>
        </w:tc>
      </w:tr>
      <w:tr w14:paraId="614F6865" w14:textId="77777777">
        <w:trPr>
          <w:cantSplit/>
        </w:trPr>
        <w:tc>
          <w:tcPr>
            <w:tcW w:w="2088" w:type="dxa"/>
            <w:shd w:val="clear" w:color="auto" w:fill="EEF2F6"/>
            <w:tcMar>
              <w:top w:w="60" w:type="dxa"/>
              <w:left w:w="80" w:type="dxa"/>
              <w:bottom w:w="60" w:type="dxa"/>
              <w:right w:w="80" w:type="dxa"/>
            </w:tcMar>
            <w:vAlign w:val="center"/>
          </w:tcPr>
          <w:p w14:paraId="46F3690F" w14:textId="77777777">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w14:paraId="0312512D" w14:textId="77777777">
            <w:pPr>
              <w:spacing w:after="0" w:line="240" w:lineRule="auto"/>
            </w:pPr>
            <w:r>
              <w:rPr>
                <w:sz w:val="15"/>
              </w:rPr>
              <w:t>7</w:t>
            </w:r>
          </w:p>
        </w:tc>
        <w:tc>
          <w:tcPr>
            <w:tcW w:w="3528" w:type="dxa"/>
            <w:shd w:val="clear" w:color="auto" w:fill="EEF2F6"/>
            <w:tcMar>
              <w:top w:w="60" w:type="dxa"/>
              <w:left w:w="80" w:type="dxa"/>
              <w:bottom w:w="60" w:type="dxa"/>
              <w:right w:w="80" w:type="dxa"/>
            </w:tcMar>
            <w:vAlign w:val="center"/>
          </w:tcPr>
          <w:p w14:paraId="70C0CDF6" w14:textId="77777777">
            <w:pPr>
              <w:spacing w:after="0" w:line="240" w:lineRule="auto"/>
            </w:pPr>
            <w:r>
              <w:rPr>
                <w:sz w:val="15"/>
              </w:rPr>
              <w:t>Calls straddle 2.5 kcal/mol but both values sit near it.</w:t>
            </w:r>
          </w:p>
        </w:tc>
        <w:tc>
          <w:tcPr>
            <w:tcW w:w="1800" w:type="dxa"/>
            <w:shd w:val="clear" w:color="auto" w:fill="EEF2F6"/>
            <w:tcMar>
              <w:top w:w="60" w:type="dxa"/>
              <w:left w:w="80" w:type="dxa"/>
              <w:bottom w:w="60" w:type="dxa"/>
              <w:right w:w="80" w:type="dxa"/>
            </w:tcMar>
            <w:vAlign w:val="center"/>
          </w:tcPr>
          <w:p w14:paraId="2FAA536D" w14:textId="77777777">
            <w:pPr>
              <w:spacing w:after="0" w:line="240" w:lineRule="auto"/>
            </w:pPr>
            <w:r>
              <w:rPr>
                <w:sz w:val="15"/>
              </w:rPr>
              <w:t>0.79 kcal/mol</w:t>
            </w:r>
          </w:p>
        </w:tc>
        <w:tc>
          <w:tcPr>
            <w:tcW w:w="1800" w:type="dxa"/>
            <w:shd w:val="clear" w:color="auto" w:fill="EEF2F6"/>
            <w:tcMar>
              <w:top w:w="60" w:type="dxa"/>
              <w:left w:w="80" w:type="dxa"/>
              <w:bottom w:w="60" w:type="dxa"/>
              <w:right w:w="80" w:type="dxa"/>
            </w:tcMar>
            <w:vAlign w:val="center"/>
          </w:tcPr>
          <w:p w14:paraId="344F4D26" w14:textId="77777777">
            <w:pPr>
              <w:spacing w:after="0" w:line="240" w:lineRule="auto"/>
            </w:pPr>
            <w:r>
              <w:rPr>
                <w:sz w:val="15"/>
              </w:rPr>
              <w:t>V1665M</w:t>
            </w:r>
          </w:p>
        </w:tc>
      </w:tr>
      <w:tr w14:paraId="6C871220" w14:textId="77777777">
        <w:trPr>
          <w:cantSplit/>
        </w:trPr>
        <w:tc>
          <w:tcPr>
            <w:tcW w:w="2088" w:type="dxa"/>
            <w:tcMar>
              <w:top w:w="60" w:type="dxa"/>
              <w:left w:w="80" w:type="dxa"/>
              <w:bottom w:w="60" w:type="dxa"/>
              <w:right w:w="80" w:type="dxa"/>
            </w:tcMar>
            <w:vAlign w:val="center"/>
          </w:tcPr>
          <w:p w14:paraId="3E64D05F" w14:textId="77777777">
            <w:pPr>
              <w:spacing w:after="0" w:line="240" w:lineRule="auto"/>
            </w:pPr>
            <w:r>
              <w:rPr>
                <w:sz w:val="15"/>
              </w:rPr>
              <w:t>Substantive disagreement</w:t>
            </w:r>
          </w:p>
        </w:tc>
        <w:tc>
          <w:tcPr>
            <w:tcW w:w="503" w:type="dxa"/>
            <w:tcMar>
              <w:top w:w="60" w:type="dxa"/>
              <w:left w:w="80" w:type="dxa"/>
              <w:bottom w:w="60" w:type="dxa"/>
              <w:right w:w="80" w:type="dxa"/>
            </w:tcMar>
            <w:vAlign w:val="center"/>
          </w:tcPr>
          <w:p w14:paraId="3C9A92A5" w14:textId="77777777">
            <w:pPr>
              <w:spacing w:after="0" w:line="240" w:lineRule="auto"/>
            </w:pPr>
            <w:r>
              <w:rPr>
                <w:sz w:val="15"/>
              </w:rPr>
              <w:t>11</w:t>
            </w:r>
          </w:p>
        </w:tc>
        <w:tc>
          <w:tcPr>
            <w:tcW w:w="3528" w:type="dxa"/>
            <w:tcMar>
              <w:top w:w="60" w:type="dxa"/>
              <w:left w:w="80" w:type="dxa"/>
              <w:bottom w:w="60" w:type="dxa"/>
              <w:right w:w="80" w:type="dxa"/>
            </w:tcMar>
            <w:vAlign w:val="center"/>
          </w:tcPr>
          <w:p w14:paraId="10F89E62" w14:textId="77777777">
            <w:pPr>
              <w:spacing w:after="0" w:line="240" w:lineRule="auto"/>
            </w:pPr>
            <w:r>
              <w:rPr>
                <w:sz w:val="15"/>
              </w:rPr>
              <w:t>Calls straddle 2.5 kcal/mol and at least one value is far from it.</w:t>
            </w:r>
          </w:p>
        </w:tc>
        <w:tc>
          <w:tcPr>
            <w:tcW w:w="1800" w:type="dxa"/>
            <w:tcMar>
              <w:top w:w="60" w:type="dxa"/>
              <w:left w:w="80" w:type="dxa"/>
              <w:bottom w:w="60" w:type="dxa"/>
              <w:right w:w="80" w:type="dxa"/>
            </w:tcMar>
            <w:vAlign w:val="center"/>
          </w:tcPr>
          <w:p w14:paraId="2CE0D24C" w14:textId="77777777">
            <w:pPr>
              <w:spacing w:after="0" w:line="240" w:lineRule="auto"/>
            </w:pPr>
            <w:r>
              <w:rPr>
                <w:sz w:val="15"/>
              </w:rPr>
              <w:t>2.96 kcal/mol</w:t>
            </w:r>
          </w:p>
        </w:tc>
        <w:tc>
          <w:tcPr>
            <w:tcW w:w="1800" w:type="dxa"/>
            <w:tcMar>
              <w:top w:w="60" w:type="dxa"/>
              <w:left w:w="80" w:type="dxa"/>
              <w:bottom w:w="60" w:type="dxa"/>
              <w:right w:w="80" w:type="dxa"/>
            </w:tcMar>
            <w:vAlign w:val="center"/>
          </w:tcPr>
          <w:p w14:paraId="47F06608" w14:textId="77777777">
            <w:pPr>
              <w:spacing w:after="0" w:line="240" w:lineRule="auto"/>
            </w:pPr>
            <w:r>
              <w:rPr>
                <w:sz w:val="15"/>
              </w:rPr>
              <w:t>V1736A; V1808A</w:t>
            </w:r>
          </w:p>
        </w:tc>
      </w:tr>
    </w:tbl>
    <w:p w14:paraId="14CF51EF" w14:textId="77777777">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w14:paraId="7086FE7C" w14:textId="77777777">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w14:paraId="05DDD1E3" w14:textId="77777777">
      <w:pPr>
        <w:pStyle w:val="Heading2"/>
      </w:pPr>
      <w:r>
        <w:t>S5 Text. Structural-context comparators, evidence states, and priority-score sensitivity</w:t>
      </w:r>
    </w:p>
    <w:p w14:paraId="29C9A83D" w14:textId="77777777">
      <w:r>
        <w:rPr>
          <w:rFonts w:ascii="Arial" w:hAnsi="Arial" w:eastAsia="Arial"/>
        </w:rPr>
        <w:t>The full tier, an interface-only screen, and the tier without its interface bonus were compared on the same 47-variant prioritization subset (S4 Table; S3 Fig). The full tier recovered 18 of 20 structural mechanisms but also flagged 12 of 27 no-lesion variants. Interface status alone recovered 15/20 and rejected 20/27; the no-interface tier recovered 15/20 and rejected 16/27. Exact within-system permutation p values were 0.0057, 0.0018, and 0.087, respectively. Per-tier structural fractions were 12/13 in Tier 1, 6/17 in Tier 2, and 2/17 across Tiers 3-4. Removing the interface bonus demoted HBB W37Y, PIK3CA E542K, PIK3CA E545K, and CALM1 D96V from Tier 2 to Tier 3.</w:t>
      </w:r>
    </w:p>
    <w:p w14:paraId="1778C9B9" w14:textId="77777777">
      <w:pPr>
        <w:pStyle w:val="Caption"/>
        <w:keepNext/>
      </w:pPr>
      <w:r>
        <w:t>S9 Table.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11"/>
        <w:gridCol w:w="2642"/>
        <w:gridCol w:w="2642"/>
        <w:gridCol w:w="2559"/>
      </w:tblGrid>
      <w:tr w14:paraId="2F951DE1" w14:textId="77777777">
        <w:trPr>
          <w:cantSplit/>
          <w:tblHeader/>
        </w:trPr>
        <w:tc>
          <w:tcPr>
            <w:tcW w:w="2015" w:type="dxa"/>
            <w:shd w:val="clear" w:color="auto" w:fill="173B59"/>
            <w:tcMar>
              <w:top w:w="60" w:type="dxa"/>
              <w:left w:w="80" w:type="dxa"/>
              <w:bottom w:w="60" w:type="dxa"/>
              <w:right w:w="80" w:type="dxa"/>
            </w:tcMar>
            <w:vAlign w:val="center"/>
          </w:tcPr>
          <w:p w14:paraId="0FDF70F0" w14:textId="77777777">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w14:paraId="09FC598B" w14:textId="77777777">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w14:paraId="3103DF5F" w14:textId="77777777">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w14:paraId="7C9D09FD" w14:textId="77777777">
            <w:pPr>
              <w:spacing w:after="0" w:line="240" w:lineRule="auto"/>
            </w:pPr>
            <w:r>
              <w:rPr>
                <w:b/>
                <w:color w:val="FFFFFF"/>
                <w:sz w:val="15"/>
              </w:rPr>
              <w:t>Structural fraction</w:t>
            </w:r>
          </w:p>
        </w:tc>
      </w:tr>
      <w:tr w14:paraId="568B79AF" w14:textId="77777777">
        <w:trPr>
          <w:cantSplit/>
        </w:trPr>
        <w:tc>
          <w:tcPr>
            <w:tcW w:w="2015" w:type="dxa"/>
            <w:tcMar>
              <w:top w:w="60" w:type="dxa"/>
              <w:left w:w="80" w:type="dxa"/>
              <w:bottom w:w="60" w:type="dxa"/>
              <w:right w:w="80" w:type="dxa"/>
            </w:tcMar>
            <w:vAlign w:val="center"/>
          </w:tcPr>
          <w:p w14:paraId="06A81B08" w14:textId="77777777">
            <w:pPr>
              <w:spacing w:after="0" w:line="240" w:lineRule="auto"/>
            </w:pPr>
            <w:r>
              <w:rPr>
                <w:sz w:val="15"/>
              </w:rPr>
              <w:t>Tier 1</w:t>
            </w:r>
          </w:p>
        </w:tc>
        <w:tc>
          <w:tcPr>
            <w:tcW w:w="2304" w:type="dxa"/>
            <w:tcMar>
              <w:top w:w="60" w:type="dxa"/>
              <w:left w:w="80" w:type="dxa"/>
              <w:bottom w:w="60" w:type="dxa"/>
              <w:right w:w="80" w:type="dxa"/>
            </w:tcMar>
            <w:vAlign w:val="center"/>
          </w:tcPr>
          <w:p w14:paraId="7A21B0A9" w14:textId="77777777">
            <w:pPr>
              <w:spacing w:after="0" w:line="240" w:lineRule="auto"/>
            </w:pPr>
            <w:r>
              <w:rPr>
                <w:sz w:val="15"/>
              </w:rPr>
              <w:t>12</w:t>
            </w:r>
          </w:p>
        </w:tc>
        <w:tc>
          <w:tcPr>
            <w:tcW w:w="2304" w:type="dxa"/>
            <w:tcMar>
              <w:top w:w="60" w:type="dxa"/>
              <w:left w:w="80" w:type="dxa"/>
              <w:bottom w:w="60" w:type="dxa"/>
              <w:right w:w="80" w:type="dxa"/>
            </w:tcMar>
            <w:vAlign w:val="center"/>
          </w:tcPr>
          <w:p w14:paraId="79832A6B" w14:textId="77777777">
            <w:pPr>
              <w:spacing w:after="0" w:line="240" w:lineRule="auto"/>
            </w:pPr>
            <w:r>
              <w:rPr>
                <w:sz w:val="15"/>
              </w:rPr>
              <w:t>1</w:t>
            </w:r>
          </w:p>
        </w:tc>
        <w:tc>
          <w:tcPr>
            <w:tcW w:w="2232" w:type="dxa"/>
            <w:tcMar>
              <w:top w:w="60" w:type="dxa"/>
              <w:left w:w="80" w:type="dxa"/>
              <w:bottom w:w="60" w:type="dxa"/>
              <w:right w:w="80" w:type="dxa"/>
            </w:tcMar>
            <w:vAlign w:val="center"/>
          </w:tcPr>
          <w:p w14:paraId="37FF41C8" w14:textId="77777777">
            <w:pPr>
              <w:spacing w:after="0" w:line="240" w:lineRule="auto"/>
            </w:pPr>
            <w:r>
              <w:rPr>
                <w:sz w:val="15"/>
              </w:rPr>
              <w:t>12/13 = 0.923</w:t>
            </w:r>
          </w:p>
        </w:tc>
      </w:tr>
      <w:tr w14:paraId="5FF8FCDA" w14:textId="77777777">
        <w:trPr>
          <w:cantSplit/>
        </w:trPr>
        <w:tc>
          <w:tcPr>
            <w:tcW w:w="2015" w:type="dxa"/>
            <w:shd w:val="clear" w:color="auto" w:fill="EEF2F6"/>
            <w:tcMar>
              <w:top w:w="60" w:type="dxa"/>
              <w:left w:w="80" w:type="dxa"/>
              <w:bottom w:w="60" w:type="dxa"/>
              <w:right w:w="80" w:type="dxa"/>
            </w:tcMar>
            <w:vAlign w:val="center"/>
          </w:tcPr>
          <w:p w14:paraId="3FC81B38" w14:textId="77777777">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w14:paraId="7AC91BB7" w14:textId="77777777">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w14:paraId="10393CA9" w14:textId="77777777">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w14:paraId="7ED8D890" w14:textId="77777777">
            <w:pPr>
              <w:spacing w:after="0" w:line="240" w:lineRule="auto"/>
            </w:pPr>
            <w:r>
              <w:rPr>
                <w:sz w:val="15"/>
              </w:rPr>
              <w:t>6/17 = 0.353</w:t>
            </w:r>
          </w:p>
        </w:tc>
      </w:tr>
      <w:tr w14:paraId="702A3E39" w14:textId="77777777">
        <w:trPr>
          <w:cantSplit/>
        </w:trPr>
        <w:tc>
          <w:tcPr>
            <w:tcW w:w="2015" w:type="dxa"/>
            <w:tcMar>
              <w:top w:w="60" w:type="dxa"/>
              <w:left w:w="80" w:type="dxa"/>
              <w:bottom w:w="60" w:type="dxa"/>
              <w:right w:w="80" w:type="dxa"/>
            </w:tcMar>
            <w:vAlign w:val="center"/>
          </w:tcPr>
          <w:p w14:paraId="6E0930CD" w14:textId="77777777">
            <w:pPr>
              <w:spacing w:after="0" w:line="240" w:lineRule="auto"/>
            </w:pPr>
            <w:r>
              <w:rPr>
                <w:sz w:val="15"/>
              </w:rPr>
              <w:t>Tiers 3-4</w:t>
            </w:r>
          </w:p>
        </w:tc>
        <w:tc>
          <w:tcPr>
            <w:tcW w:w="2304" w:type="dxa"/>
            <w:tcMar>
              <w:top w:w="60" w:type="dxa"/>
              <w:left w:w="80" w:type="dxa"/>
              <w:bottom w:w="60" w:type="dxa"/>
              <w:right w:w="80" w:type="dxa"/>
            </w:tcMar>
            <w:vAlign w:val="center"/>
          </w:tcPr>
          <w:p w14:paraId="71A2211B" w14:textId="77777777">
            <w:pPr>
              <w:spacing w:after="0" w:line="240" w:lineRule="auto"/>
            </w:pPr>
            <w:r>
              <w:rPr>
                <w:sz w:val="15"/>
              </w:rPr>
              <w:t>2</w:t>
            </w:r>
          </w:p>
        </w:tc>
        <w:tc>
          <w:tcPr>
            <w:tcW w:w="2304" w:type="dxa"/>
            <w:tcMar>
              <w:top w:w="60" w:type="dxa"/>
              <w:left w:w="80" w:type="dxa"/>
              <w:bottom w:w="60" w:type="dxa"/>
              <w:right w:w="80" w:type="dxa"/>
            </w:tcMar>
            <w:vAlign w:val="center"/>
          </w:tcPr>
          <w:p w14:paraId="73DCF3BA" w14:textId="77777777">
            <w:pPr>
              <w:spacing w:after="0" w:line="240" w:lineRule="auto"/>
            </w:pPr>
            <w:r>
              <w:rPr>
                <w:sz w:val="15"/>
              </w:rPr>
              <w:t>15</w:t>
            </w:r>
          </w:p>
        </w:tc>
        <w:tc>
          <w:tcPr>
            <w:tcW w:w="2232" w:type="dxa"/>
            <w:tcMar>
              <w:top w:w="60" w:type="dxa"/>
              <w:left w:w="80" w:type="dxa"/>
              <w:bottom w:w="60" w:type="dxa"/>
              <w:right w:w="80" w:type="dxa"/>
            </w:tcMar>
            <w:vAlign w:val="center"/>
          </w:tcPr>
          <w:p w14:paraId="7E7F2E90" w14:textId="77777777">
            <w:pPr>
              <w:spacing w:after="0" w:line="240" w:lineRule="auto"/>
            </w:pPr>
            <w:r>
              <w:rPr>
                <w:sz w:val="15"/>
              </w:rPr>
              <w:t>2/17 = 0.118</w:t>
            </w:r>
          </w:p>
        </w:tc>
      </w:tr>
    </w:tbl>
    <w:p w14:paraId="1FA210E9" w14:textId="77777777">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w14:paraId="276F8C65" w14:textId="77777777">
      <w:r>
        <w:t>Removing the tier from the released mechanism-label construction changed seven labels but no per-variant grade: weighted mechanism consistency was 0.693 with and without the tier. The tier does not select a FoldX axis, so it cannot rescue a missed physical axis under the current grading rule.</w:t>
      </w:r>
    </w:p>
    <w:p w14:paraId="7D69B8AF" w14:textId="77777777">
      <w:pPr>
        <w:pStyle w:val="Caption"/>
        <w:keepNext/>
      </w:pPr>
      <w:r>
        <w:t>S10 Table.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21"/>
        <w:gridCol w:w="1984"/>
        <w:gridCol w:w="1983"/>
        <w:gridCol w:w="1983"/>
        <w:gridCol w:w="1983"/>
      </w:tblGrid>
      <w:tr w14:paraId="7AED8340" w14:textId="77777777">
        <w:trPr>
          <w:cantSplit/>
          <w:tblHeader/>
        </w:trPr>
        <w:tc>
          <w:tcPr>
            <w:tcW w:w="2015" w:type="dxa"/>
            <w:shd w:val="clear" w:color="auto" w:fill="173B59"/>
            <w:tcMar>
              <w:top w:w="60" w:type="dxa"/>
              <w:left w:w="80" w:type="dxa"/>
              <w:bottom w:w="60" w:type="dxa"/>
              <w:right w:w="80" w:type="dxa"/>
            </w:tcMar>
            <w:vAlign w:val="center"/>
          </w:tcPr>
          <w:p w14:paraId="5BDF020A" w14:textId="77777777">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w14:paraId="155E2C33" w14:textId="77777777">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w14:paraId="58D26FF3" w14:textId="77777777">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w14:paraId="1C1DABCD" w14:textId="77777777">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w14:paraId="395487E1" w14:textId="77777777">
            <w:pPr>
              <w:spacing w:after="0" w:line="240" w:lineRule="auto"/>
            </w:pPr>
            <w:r>
              <w:rPr>
                <w:b/>
                <w:color w:val="FFFFFF"/>
                <w:sz w:val="15"/>
              </w:rPr>
              <w:t>Neither</w:t>
            </w:r>
          </w:p>
        </w:tc>
      </w:tr>
      <w:tr w14:paraId="03BDF580" w14:textId="77777777">
        <w:trPr>
          <w:cantSplit/>
        </w:trPr>
        <w:tc>
          <w:tcPr>
            <w:tcW w:w="2015" w:type="dxa"/>
            <w:tcMar>
              <w:top w:w="60" w:type="dxa"/>
              <w:left w:w="80" w:type="dxa"/>
              <w:bottom w:w="60" w:type="dxa"/>
              <w:right w:w="80" w:type="dxa"/>
            </w:tcMar>
            <w:vAlign w:val="center"/>
          </w:tcPr>
          <w:p w14:paraId="04D11727" w14:textId="77777777">
            <w:pPr>
              <w:spacing w:after="0" w:line="240" w:lineRule="auto"/>
            </w:pPr>
            <w:r>
              <w:rPr>
                <w:sz w:val="15"/>
              </w:rPr>
              <w:t>1.0 default</w:t>
            </w:r>
          </w:p>
        </w:tc>
        <w:tc>
          <w:tcPr>
            <w:tcW w:w="1800" w:type="dxa"/>
            <w:tcMar>
              <w:top w:w="60" w:type="dxa"/>
              <w:left w:w="80" w:type="dxa"/>
              <w:bottom w:w="60" w:type="dxa"/>
              <w:right w:w="80" w:type="dxa"/>
            </w:tcMar>
            <w:vAlign w:val="center"/>
          </w:tcPr>
          <w:p w14:paraId="6471F208" w14:textId="77777777">
            <w:pPr>
              <w:spacing w:after="0" w:line="240" w:lineRule="auto"/>
            </w:pPr>
            <w:r>
              <w:rPr>
                <w:sz w:val="15"/>
              </w:rPr>
              <w:t>17/8</w:t>
            </w:r>
          </w:p>
        </w:tc>
        <w:tc>
          <w:tcPr>
            <w:tcW w:w="1800" w:type="dxa"/>
            <w:tcMar>
              <w:top w:w="60" w:type="dxa"/>
              <w:left w:w="80" w:type="dxa"/>
              <w:bottom w:w="60" w:type="dxa"/>
              <w:right w:w="80" w:type="dxa"/>
            </w:tcMar>
            <w:vAlign w:val="center"/>
          </w:tcPr>
          <w:p w14:paraId="025F05F6" w14:textId="77777777">
            <w:pPr>
              <w:spacing w:after="0" w:line="240" w:lineRule="auto"/>
            </w:pPr>
            <w:r>
              <w:rPr>
                <w:sz w:val="15"/>
              </w:rPr>
              <w:t>1/7</w:t>
            </w:r>
          </w:p>
        </w:tc>
        <w:tc>
          <w:tcPr>
            <w:tcW w:w="1800" w:type="dxa"/>
            <w:tcMar>
              <w:top w:w="60" w:type="dxa"/>
              <w:left w:w="80" w:type="dxa"/>
              <w:bottom w:w="60" w:type="dxa"/>
              <w:right w:w="80" w:type="dxa"/>
            </w:tcMar>
            <w:vAlign w:val="center"/>
          </w:tcPr>
          <w:p w14:paraId="127454CF" w14:textId="77777777">
            <w:pPr>
              <w:spacing w:after="0" w:line="240" w:lineRule="auto"/>
            </w:pPr>
            <w:r>
              <w:rPr>
                <w:sz w:val="15"/>
              </w:rPr>
              <w:t>1/4</w:t>
            </w:r>
          </w:p>
        </w:tc>
        <w:tc>
          <w:tcPr>
            <w:tcW w:w="1800" w:type="dxa"/>
            <w:tcMar>
              <w:top w:w="60" w:type="dxa"/>
              <w:left w:w="80" w:type="dxa"/>
              <w:bottom w:w="60" w:type="dxa"/>
              <w:right w:w="80" w:type="dxa"/>
            </w:tcMar>
            <w:vAlign w:val="center"/>
          </w:tcPr>
          <w:p w14:paraId="13E643A6" w14:textId="77777777">
            <w:pPr>
              <w:spacing w:after="0" w:line="240" w:lineRule="auto"/>
            </w:pPr>
            <w:r>
              <w:rPr>
                <w:sz w:val="15"/>
              </w:rPr>
              <w:t>1/8</w:t>
            </w:r>
          </w:p>
        </w:tc>
      </w:tr>
      <w:tr w14:paraId="72A0E2DD" w14:textId="77777777">
        <w:trPr>
          <w:cantSplit/>
        </w:trPr>
        <w:tc>
          <w:tcPr>
            <w:tcW w:w="2015" w:type="dxa"/>
            <w:shd w:val="clear" w:color="auto" w:fill="EEF2F6"/>
            <w:tcMar>
              <w:top w:w="60" w:type="dxa"/>
              <w:left w:w="80" w:type="dxa"/>
              <w:bottom w:w="60" w:type="dxa"/>
              <w:right w:w="80" w:type="dxa"/>
            </w:tcMar>
            <w:vAlign w:val="center"/>
          </w:tcPr>
          <w:p w14:paraId="297FD9D6" w14: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w14:paraId="28D4B246" w14:textId="77777777">
            <w:pPr>
              <w:spacing w:after="0" w:line="240" w:lineRule="auto"/>
            </w:pPr>
            <w:r>
              <w:rPr>
                <w:sz w:val="15"/>
              </w:rPr>
              <w:t>16/5</w:t>
            </w:r>
          </w:p>
        </w:tc>
        <w:tc>
          <w:tcPr>
            <w:tcW w:w="1800" w:type="dxa"/>
            <w:shd w:val="clear" w:color="auto" w:fill="EEF2F6"/>
            <w:tcMar>
              <w:top w:w="60" w:type="dxa"/>
              <w:left w:w="80" w:type="dxa"/>
              <w:bottom w:w="60" w:type="dxa"/>
              <w:right w:w="80" w:type="dxa"/>
            </w:tcMar>
            <w:vAlign w:val="center"/>
          </w:tcPr>
          <w:p w14:paraId="02C7DE82" w14: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w14:paraId="48AFC1BF" w14:textId="77777777">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w14:paraId="19A88FC9" w14:textId="77777777">
            <w:pPr>
              <w:spacing w:after="0" w:line="240" w:lineRule="auto"/>
            </w:pPr>
            <w:r>
              <w:rPr>
                <w:sz w:val="15"/>
              </w:rPr>
              <w:t>1/10</w:t>
            </w:r>
          </w:p>
        </w:tc>
      </w:tr>
      <w:tr w14:paraId="52034CCE" w14:textId="77777777">
        <w:trPr>
          <w:cantSplit/>
        </w:trPr>
        <w:tc>
          <w:tcPr>
            <w:tcW w:w="2015" w:type="dxa"/>
            <w:tcMar>
              <w:top w:w="60" w:type="dxa"/>
              <w:left w:w="80" w:type="dxa"/>
              <w:bottom w:w="60" w:type="dxa"/>
              <w:right w:w="80" w:type="dxa"/>
            </w:tcMar>
            <w:vAlign w:val="center"/>
          </w:tcPr>
          <w:p w14:paraId="212C381D" w14:textId="77777777">
            <w:pPr>
              <w:spacing w:after="0" w:line="240" w:lineRule="auto"/>
            </w:pPr>
            <w:r>
              <w:rPr>
                <w:sz w:val="15"/>
              </w:rPr>
              <w:t>2.0</w:t>
            </w:r>
          </w:p>
        </w:tc>
        <w:tc>
          <w:tcPr>
            <w:tcW w:w="1800" w:type="dxa"/>
            <w:tcMar>
              <w:top w:w="60" w:type="dxa"/>
              <w:left w:w="80" w:type="dxa"/>
              <w:bottom w:w="60" w:type="dxa"/>
              <w:right w:w="80" w:type="dxa"/>
            </w:tcMar>
            <w:vAlign w:val="center"/>
          </w:tcPr>
          <w:p w14:paraId="387185E1" w14:textId="77777777">
            <w:pPr>
              <w:spacing w:after="0" w:line="240" w:lineRule="auto"/>
            </w:pPr>
            <w:r>
              <w:rPr>
                <w:sz w:val="15"/>
              </w:rPr>
              <w:t>16/3</w:t>
            </w:r>
          </w:p>
        </w:tc>
        <w:tc>
          <w:tcPr>
            <w:tcW w:w="1800" w:type="dxa"/>
            <w:tcMar>
              <w:top w:w="60" w:type="dxa"/>
              <w:left w:w="80" w:type="dxa"/>
              <w:bottom w:w="60" w:type="dxa"/>
              <w:right w:w="80" w:type="dxa"/>
            </w:tcMar>
            <w:vAlign w:val="center"/>
          </w:tcPr>
          <w:p w14:paraId="7629DE4E" w14:textId="77777777">
            <w:pPr>
              <w:spacing w:after="0" w:line="240" w:lineRule="auto"/>
            </w:pPr>
            <w:r>
              <w:rPr>
                <w:sz w:val="15"/>
              </w:rPr>
              <w:t>1/4</w:t>
            </w:r>
          </w:p>
        </w:tc>
        <w:tc>
          <w:tcPr>
            <w:tcW w:w="1800" w:type="dxa"/>
            <w:tcMar>
              <w:top w:w="60" w:type="dxa"/>
              <w:left w:w="80" w:type="dxa"/>
              <w:bottom w:w="60" w:type="dxa"/>
              <w:right w:w="80" w:type="dxa"/>
            </w:tcMar>
            <w:vAlign w:val="center"/>
          </w:tcPr>
          <w:p w14:paraId="3F4240CF" w14:textId="77777777">
            <w:pPr>
              <w:spacing w:after="0" w:line="240" w:lineRule="auto"/>
            </w:pPr>
            <w:r>
              <w:rPr>
                <w:sz w:val="15"/>
              </w:rPr>
              <w:t>2/9</w:t>
            </w:r>
          </w:p>
        </w:tc>
        <w:tc>
          <w:tcPr>
            <w:tcW w:w="1800" w:type="dxa"/>
            <w:tcMar>
              <w:top w:w="60" w:type="dxa"/>
              <w:left w:w="80" w:type="dxa"/>
              <w:bottom w:w="60" w:type="dxa"/>
              <w:right w:w="80" w:type="dxa"/>
            </w:tcMar>
            <w:vAlign w:val="center"/>
          </w:tcPr>
          <w:p w14:paraId="6BBD2362" w14:textId="77777777">
            <w:pPr>
              <w:spacing w:after="0" w:line="240" w:lineRule="auto"/>
            </w:pPr>
            <w:r>
              <w:rPr>
                <w:sz w:val="15"/>
              </w:rPr>
              <w:t>1/11</w:t>
            </w:r>
          </w:p>
        </w:tc>
      </w:tr>
      <w:tr w14:paraId="1BDB66A9" w14:textId="77777777">
        <w:trPr>
          <w:cantSplit/>
        </w:trPr>
        <w:tc>
          <w:tcPr>
            <w:tcW w:w="2015" w:type="dxa"/>
            <w:shd w:val="clear" w:color="auto" w:fill="EEF2F6"/>
            <w:tcMar>
              <w:top w:w="60" w:type="dxa"/>
              <w:left w:w="80" w:type="dxa"/>
              <w:bottom w:w="60" w:type="dxa"/>
              <w:right w:w="80" w:type="dxa"/>
            </w:tcMar>
            <w:vAlign w:val="center"/>
          </w:tcPr>
          <w:p w14:paraId="63A64B62" w14:textId="77777777">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w14:paraId="7DA6D28D" w14:textId="77777777">
            <w:pPr>
              <w:spacing w:after="0" w:line="240" w:lineRule="auto"/>
            </w:pPr>
            <w:r>
              <w:rPr>
                <w:sz w:val="15"/>
              </w:rPr>
              <w:t>16/2</w:t>
            </w:r>
          </w:p>
        </w:tc>
        <w:tc>
          <w:tcPr>
            <w:tcW w:w="1800" w:type="dxa"/>
            <w:shd w:val="clear" w:color="auto" w:fill="EEF2F6"/>
            <w:tcMar>
              <w:top w:w="60" w:type="dxa"/>
              <w:left w:w="80" w:type="dxa"/>
              <w:bottom w:w="60" w:type="dxa"/>
              <w:right w:w="80" w:type="dxa"/>
            </w:tcMar>
            <w:vAlign w:val="center"/>
          </w:tcPr>
          <w:p w14:paraId="03E87745" w14:textId="77777777">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w14:paraId="083431EA" w14:textId="77777777">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w14:paraId="556B990D" w14:textId="77777777">
            <w:pPr>
              <w:spacing w:after="0" w:line="240" w:lineRule="auto"/>
            </w:pPr>
            <w:r>
              <w:rPr>
                <w:sz w:val="15"/>
              </w:rPr>
              <w:t>2/12</w:t>
            </w:r>
          </w:p>
        </w:tc>
      </w:tr>
      <w:tr w14:paraId="44D799D0" w14:textId="77777777">
        <w:trPr>
          <w:cantSplit/>
        </w:trPr>
        <w:tc>
          <w:tcPr>
            <w:tcW w:w="2015" w:type="dxa"/>
            <w:tcMar>
              <w:top w:w="60" w:type="dxa"/>
              <w:left w:w="80" w:type="dxa"/>
              <w:bottom w:w="60" w:type="dxa"/>
              <w:right w:w="80" w:type="dxa"/>
            </w:tcMar>
            <w:vAlign w:val="center"/>
          </w:tcPr>
          <w:p w14:paraId="4AFE1A31" w14:textId="77777777">
            <w:pPr>
              <w:spacing w:after="0" w:line="240" w:lineRule="auto"/>
            </w:pPr>
            <w:r>
              <w:rPr>
                <w:sz w:val="15"/>
              </w:rPr>
              <w:t>tSAP</w:t>
            </w:r>
          </w:p>
        </w:tc>
        <w:tc>
          <w:tcPr>
            <w:tcW w:w="1800" w:type="dxa"/>
            <w:tcMar>
              <w:top w:w="60" w:type="dxa"/>
              <w:left w:w="80" w:type="dxa"/>
              <w:bottom w:w="60" w:type="dxa"/>
              <w:right w:w="80" w:type="dxa"/>
            </w:tcMar>
            <w:vAlign w:val="center"/>
          </w:tcPr>
          <w:p w14:paraId="113F9781" w14:textId="77777777">
            <w:pPr>
              <w:spacing w:after="0" w:line="240" w:lineRule="auto"/>
            </w:pPr>
            <w:r>
              <w:rPr>
                <w:sz w:val="15"/>
              </w:rPr>
              <w:t>12/2</w:t>
            </w:r>
          </w:p>
        </w:tc>
        <w:tc>
          <w:tcPr>
            <w:tcW w:w="1800" w:type="dxa"/>
            <w:tcMar>
              <w:top w:w="60" w:type="dxa"/>
              <w:left w:w="80" w:type="dxa"/>
              <w:bottom w:w="60" w:type="dxa"/>
              <w:right w:w="80" w:type="dxa"/>
            </w:tcMar>
            <w:vAlign w:val="center"/>
          </w:tcPr>
          <w:p w14:paraId="4FA3F133" w14:textId="77777777">
            <w:pPr>
              <w:spacing w:after="0" w:line="240" w:lineRule="auto"/>
            </w:pPr>
            <w:r>
              <w:rPr>
                <w:sz w:val="15"/>
              </w:rPr>
              <w:t>0/2</w:t>
            </w:r>
          </w:p>
        </w:tc>
        <w:tc>
          <w:tcPr>
            <w:tcW w:w="1800" w:type="dxa"/>
            <w:tcMar>
              <w:top w:w="60" w:type="dxa"/>
              <w:left w:w="80" w:type="dxa"/>
              <w:bottom w:w="60" w:type="dxa"/>
              <w:right w:w="80" w:type="dxa"/>
            </w:tcMar>
            <w:vAlign w:val="center"/>
          </w:tcPr>
          <w:p w14:paraId="5F691A5A" w14:textId="77777777">
            <w:pPr>
              <w:spacing w:after="0" w:line="240" w:lineRule="auto"/>
            </w:pPr>
            <w:r>
              <w:rPr>
                <w:sz w:val="15"/>
              </w:rPr>
              <w:t>6/10</w:t>
            </w:r>
          </w:p>
        </w:tc>
        <w:tc>
          <w:tcPr>
            <w:tcW w:w="1800" w:type="dxa"/>
            <w:tcMar>
              <w:top w:w="60" w:type="dxa"/>
              <w:left w:w="80" w:type="dxa"/>
              <w:bottom w:w="60" w:type="dxa"/>
              <w:right w:w="80" w:type="dxa"/>
            </w:tcMar>
            <w:vAlign w:val="center"/>
          </w:tcPr>
          <w:p w14:paraId="5E24CCF4" w14:textId="77777777">
            <w:pPr>
              <w:spacing w:after="0" w:line="240" w:lineRule="auto"/>
            </w:pPr>
            <w:r>
              <w:rPr>
                <w:sz w:val="15"/>
              </w:rPr>
              <w:t>2/13</w:t>
            </w:r>
          </w:p>
        </w:tc>
      </w:tr>
    </w:tbl>
    <w:p w14:paraId="1E348CFE" w14:textId="77777777">
      <w:pPr>
        <w:pStyle w:val="Caption"/>
        <w:keepNext/>
      </w:pPr>
      <w:r>
        <w:t>S11 Table.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48"/>
        <w:gridCol w:w="3953"/>
        <w:gridCol w:w="3953"/>
      </w:tblGrid>
      <w:tr w14:paraId="794F36CF" w14:textId="77777777">
        <w:trPr>
          <w:cantSplit/>
          <w:tblHeader/>
        </w:trPr>
        <w:tc>
          <w:tcPr>
            <w:tcW w:w="2088" w:type="dxa"/>
            <w:shd w:val="clear" w:color="auto" w:fill="173B59"/>
            <w:tcMar>
              <w:top w:w="60" w:type="dxa"/>
              <w:left w:w="80" w:type="dxa"/>
              <w:bottom w:w="60" w:type="dxa"/>
              <w:right w:w="80" w:type="dxa"/>
            </w:tcMar>
            <w:vAlign w:val="center"/>
          </w:tcPr>
          <w:p w14:paraId="6111AA3D" w14:textId="77777777">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w14:paraId="7DBCC850" w14:textId="77777777">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w14:paraId="4E5DA351" w14:textId="77777777">
            <w:pPr>
              <w:spacing w:after="0" w:line="240" w:lineRule="auto"/>
            </w:pPr>
            <w:r>
              <w:rPr>
                <w:b/>
                <w:color w:val="FFFFFF"/>
                <w:sz w:val="15"/>
              </w:rPr>
              <w:t>Convergent: energy + Tier 1-2</w:t>
            </w:r>
          </w:p>
        </w:tc>
      </w:tr>
      <w:tr w14:paraId="73E4D0A1" w14:textId="77777777">
        <w:trPr>
          <w:cantSplit/>
        </w:trPr>
        <w:tc>
          <w:tcPr>
            <w:tcW w:w="2088" w:type="dxa"/>
            <w:tcMar>
              <w:top w:w="60" w:type="dxa"/>
              <w:left w:w="80" w:type="dxa"/>
              <w:bottom w:w="60" w:type="dxa"/>
              <w:right w:w="80" w:type="dxa"/>
            </w:tcMar>
            <w:vAlign w:val="center"/>
          </w:tcPr>
          <w:p w14:paraId="6EF6A1FA" w14:textId="77777777">
            <w:pPr>
              <w:spacing w:after="0" w:line="240" w:lineRule="auto"/>
            </w:pPr>
            <w:r>
              <w:rPr>
                <w:sz w:val="15"/>
              </w:rPr>
              <w:t>1.0 default</w:t>
            </w:r>
          </w:p>
        </w:tc>
        <w:tc>
          <w:tcPr>
            <w:tcW w:w="3671" w:type="dxa"/>
            <w:tcMar>
              <w:top w:w="60" w:type="dxa"/>
              <w:left w:w="80" w:type="dxa"/>
              <w:bottom w:w="60" w:type="dxa"/>
              <w:right w:w="80" w:type="dxa"/>
            </w:tcMar>
            <w:vAlign w:val="center"/>
          </w:tcPr>
          <w:p w14:paraId="06B0DA8D" w14:textId="77777777">
            <w:pPr>
              <w:spacing w:after="0" w:line="240" w:lineRule="auto"/>
            </w:pPr>
            <w:r>
              <w:rPr>
                <w:sz w:val="15"/>
              </w:rPr>
              <w:t>0.900 / 0.444 / 0.545</w:t>
            </w:r>
          </w:p>
        </w:tc>
        <w:tc>
          <w:tcPr>
            <w:tcW w:w="3671" w:type="dxa"/>
            <w:tcMar>
              <w:top w:w="60" w:type="dxa"/>
              <w:left w:w="80" w:type="dxa"/>
              <w:bottom w:w="60" w:type="dxa"/>
              <w:right w:w="80" w:type="dxa"/>
            </w:tcMar>
            <w:vAlign w:val="center"/>
          </w:tcPr>
          <w:p w14:paraId="49BD07E6" w14:textId="77777777">
            <w:pPr>
              <w:spacing w:after="0" w:line="240" w:lineRule="auto"/>
            </w:pPr>
            <w:r>
              <w:rPr>
                <w:sz w:val="15"/>
              </w:rPr>
              <w:t>0.850 / 0.704 / 0.680</w:t>
            </w:r>
          </w:p>
        </w:tc>
      </w:tr>
      <w:tr w14:paraId="679B351C" w14:textId="77777777">
        <w:trPr>
          <w:cantSplit/>
        </w:trPr>
        <w:tc>
          <w:tcPr>
            <w:tcW w:w="2088" w:type="dxa"/>
            <w:shd w:val="clear" w:color="auto" w:fill="EEF2F6"/>
            <w:tcMar>
              <w:top w:w="60" w:type="dxa"/>
              <w:left w:w="80" w:type="dxa"/>
              <w:bottom w:w="60" w:type="dxa"/>
              <w:right w:w="80" w:type="dxa"/>
            </w:tcMar>
            <w:vAlign w:val="center"/>
          </w:tcPr>
          <w:p w14:paraId="2C2494AB" w14:textId="77777777">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w14:paraId="1268386B" w14:textId="77777777">
            <w:pPr>
              <w:spacing w:after="0" w:line="240" w:lineRule="auto"/>
            </w:pPr>
            <w:r>
              <w:rPr>
                <w:sz w:val="15"/>
              </w:rPr>
              <w:t>0.850 / 0.630 / 0.630</w:t>
            </w:r>
          </w:p>
        </w:tc>
        <w:tc>
          <w:tcPr>
            <w:tcW w:w="3671" w:type="dxa"/>
            <w:shd w:val="clear" w:color="auto" w:fill="EEF2F6"/>
            <w:tcMar>
              <w:top w:w="60" w:type="dxa"/>
              <w:left w:w="80" w:type="dxa"/>
              <w:bottom w:w="60" w:type="dxa"/>
              <w:right w:w="80" w:type="dxa"/>
            </w:tcMar>
            <w:vAlign w:val="center"/>
          </w:tcPr>
          <w:p w14:paraId="4349219C" w14:textId="77777777">
            <w:pPr>
              <w:spacing w:after="0" w:line="240" w:lineRule="auto"/>
            </w:pPr>
            <w:r>
              <w:rPr>
                <w:sz w:val="15"/>
              </w:rPr>
              <w:t>0.800 / 0.815 / 0.762</w:t>
            </w:r>
          </w:p>
        </w:tc>
      </w:tr>
      <w:tr w14:paraId="4F2769D7" w14:textId="77777777">
        <w:trPr>
          <w:cantSplit/>
        </w:trPr>
        <w:tc>
          <w:tcPr>
            <w:tcW w:w="2088" w:type="dxa"/>
            <w:tcMar>
              <w:top w:w="60" w:type="dxa"/>
              <w:left w:w="80" w:type="dxa"/>
              <w:bottom w:w="60" w:type="dxa"/>
              <w:right w:w="80" w:type="dxa"/>
            </w:tcMar>
            <w:vAlign w:val="center"/>
          </w:tcPr>
          <w:p w14:paraId="48517266" w14:textId="77777777">
            <w:pPr>
              <w:spacing w:after="0" w:line="240" w:lineRule="auto"/>
            </w:pPr>
            <w:r>
              <w:rPr>
                <w:sz w:val="15"/>
              </w:rPr>
              <w:t>2.0</w:t>
            </w:r>
          </w:p>
        </w:tc>
        <w:tc>
          <w:tcPr>
            <w:tcW w:w="3671" w:type="dxa"/>
            <w:tcMar>
              <w:top w:w="60" w:type="dxa"/>
              <w:left w:w="80" w:type="dxa"/>
              <w:bottom w:w="60" w:type="dxa"/>
              <w:right w:w="80" w:type="dxa"/>
            </w:tcMar>
            <w:vAlign w:val="center"/>
          </w:tcPr>
          <w:p w14:paraId="779E9D3A" w14:textId="77777777">
            <w:pPr>
              <w:spacing w:after="0" w:line="240" w:lineRule="auto"/>
            </w:pPr>
            <w:r>
              <w:rPr>
                <w:sz w:val="15"/>
              </w:rPr>
              <w:t>0.850 / 0.741 / 0.708</w:t>
            </w:r>
          </w:p>
        </w:tc>
        <w:tc>
          <w:tcPr>
            <w:tcW w:w="3671" w:type="dxa"/>
            <w:tcMar>
              <w:top w:w="60" w:type="dxa"/>
              <w:left w:w="80" w:type="dxa"/>
              <w:bottom w:w="60" w:type="dxa"/>
              <w:right w:w="80" w:type="dxa"/>
            </w:tcMar>
            <w:vAlign w:val="center"/>
          </w:tcPr>
          <w:p w14:paraId="1B02A2AC" w14:textId="77777777">
            <w:pPr>
              <w:spacing w:after="0" w:line="240" w:lineRule="auto"/>
            </w:pPr>
            <w:r>
              <w:rPr>
                <w:sz w:val="15"/>
              </w:rPr>
              <w:t>0.800 / 0.889 / 0.842</w:t>
            </w:r>
          </w:p>
        </w:tc>
      </w:tr>
      <w:tr w14:paraId="2B6D7C48" w14:textId="77777777">
        <w:trPr>
          <w:cantSplit/>
        </w:trPr>
        <w:tc>
          <w:tcPr>
            <w:tcW w:w="2088" w:type="dxa"/>
            <w:shd w:val="clear" w:color="auto" w:fill="EEF2F6"/>
            <w:tcMar>
              <w:top w:w="60" w:type="dxa"/>
              <w:left w:w="80" w:type="dxa"/>
              <w:bottom w:w="60" w:type="dxa"/>
              <w:right w:w="80" w:type="dxa"/>
            </w:tcMar>
            <w:vAlign w:val="center"/>
          </w:tcPr>
          <w:p w14:paraId="36143047" w14:textId="77777777">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w14:paraId="3F8CDF19" w14:textId="77777777">
            <w:pPr>
              <w:spacing w:after="0" w:line="240" w:lineRule="auto"/>
            </w:pPr>
            <w:r>
              <w:rPr>
                <w:sz w:val="15"/>
              </w:rPr>
              <w:t>0.800 / 0.815 / 0.762</w:t>
            </w:r>
          </w:p>
        </w:tc>
        <w:tc>
          <w:tcPr>
            <w:tcW w:w="3671" w:type="dxa"/>
            <w:shd w:val="clear" w:color="auto" w:fill="EEF2F6"/>
            <w:tcMar>
              <w:top w:w="60" w:type="dxa"/>
              <w:left w:w="80" w:type="dxa"/>
              <w:bottom w:w="60" w:type="dxa"/>
              <w:right w:w="80" w:type="dxa"/>
            </w:tcMar>
            <w:vAlign w:val="center"/>
          </w:tcPr>
          <w:p w14:paraId="1A578A9E" w14:textId="77777777">
            <w:pPr>
              <w:spacing w:after="0" w:line="240" w:lineRule="auto"/>
            </w:pPr>
            <w:r>
              <w:rPr>
                <w:sz w:val="15"/>
              </w:rPr>
              <w:t>0.800 / 0.926 / 0.889</w:t>
            </w:r>
          </w:p>
        </w:tc>
      </w:tr>
      <w:tr w14:paraId="291A3F1A" w14:textId="77777777">
        <w:trPr>
          <w:cantSplit/>
        </w:trPr>
        <w:tc>
          <w:tcPr>
            <w:tcW w:w="2088" w:type="dxa"/>
            <w:tcMar>
              <w:top w:w="60" w:type="dxa"/>
              <w:left w:w="80" w:type="dxa"/>
              <w:bottom w:w="60" w:type="dxa"/>
              <w:right w:w="80" w:type="dxa"/>
            </w:tcMar>
            <w:vAlign w:val="center"/>
          </w:tcPr>
          <w:p w14:paraId="2245A86E" w14:textId="77777777">
            <w:pPr>
              <w:spacing w:after="0" w:line="240" w:lineRule="auto"/>
            </w:pPr>
            <w:r>
              <w:rPr>
                <w:sz w:val="15"/>
              </w:rPr>
              <w:t>tSAP</w:t>
            </w:r>
          </w:p>
        </w:tc>
        <w:tc>
          <w:tcPr>
            <w:tcW w:w="3671" w:type="dxa"/>
            <w:tcMar>
              <w:top w:w="60" w:type="dxa"/>
              <w:left w:w="80" w:type="dxa"/>
              <w:bottom w:w="60" w:type="dxa"/>
              <w:right w:w="80" w:type="dxa"/>
            </w:tcMar>
            <w:vAlign w:val="center"/>
          </w:tcPr>
          <w:p w14:paraId="655B485E" w14:textId="77777777">
            <w:pPr>
              <w:spacing w:after="0" w:line="240" w:lineRule="auto"/>
            </w:pPr>
            <w:r>
              <w:rPr>
                <w:sz w:val="15"/>
              </w:rPr>
              <w:t>0.600 / 0.852 / 0.750</w:t>
            </w:r>
          </w:p>
        </w:tc>
        <w:tc>
          <w:tcPr>
            <w:tcW w:w="3671" w:type="dxa"/>
            <w:tcMar>
              <w:top w:w="60" w:type="dxa"/>
              <w:left w:w="80" w:type="dxa"/>
              <w:bottom w:w="60" w:type="dxa"/>
              <w:right w:w="80" w:type="dxa"/>
            </w:tcMar>
            <w:vAlign w:val="center"/>
          </w:tcPr>
          <w:p w14:paraId="79F43821" w14:textId="77777777">
            <w:pPr>
              <w:spacing w:after="0" w:line="240" w:lineRule="auto"/>
            </w:pPr>
            <w:r>
              <w:rPr>
                <w:sz w:val="15"/>
              </w:rPr>
              <w:t>0.600 / 0.926 / 0.857</w:t>
            </w:r>
          </w:p>
        </w:tc>
      </w:tr>
    </w:tbl>
    <w:p w14:paraId="6EF39EAF" w14:textId="77777777">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w14:paraId="131BA267" w14:textId="77777777">
      <w:r>
        <w:rPr>
          <w:rFonts w:ascii="Arial" w:hAnsi="Arial" w:eastAsia="Arial"/>
        </w:rPr>
        <w:t>The frozen priority-score analysis retained the earlier integration work as formula sensitivities. The historical cohort-standardized combination and a common 2.5 kcal/mol normalization had structural-prioritization ROC AUC 0.919 and 0.920, the hard cap had 0.917 but only 31 unique values, and exponential or smooth alternatives had 0.917. The selected fixed formula had structural-prioritization ROC AUC 0.917 and average precision 0.923. Removing the interface bonus from the context component reduced ROC AUC to 0.863, showing that interface information materially contributes to the present ranking. ISDS-v1 was available for two additional resource variants that lacked the committed structural-prioritization endpoint; they were not included in these performance estimates.</w:t>
      </w:r>
    </w:p>
    <w:p w14:paraId="26320297" w14:textId="77777777">
      <w:r>
        <w:rPr>
          <w:rFonts w:ascii="Arial" w:hAnsi="Arial" w:eastAsia="Arial"/>
        </w:rPr>
        <w:t>In 10,000 whole-system bootstrap draws, the priority score exceeded its energetic component by an observed 0.070 structural-prioritization AUC (95% CI -0.007 to 0.141) and exceeded its context component by an observed 0.059 AUC (95% CI -0.002 to 0.135). Ten structural-mechanism variants occurred in the top 10, 17/20 in the top 20, and 18/20 in the top 25. The two highest score bands contained 15 of 20 structural mechanisms, and the highest band was uniformly structural (9/9). Two structural mechanisms fell below 0.40: KRAS G12D and G12V, whose oncogenic mechanism is altered nucleotide-state occupancy rather than interface disruption, which an interface-weighted priority score is not constructed to rank. S4 Fig shows the soft-saturation transformation and component ROC curves. These analyses support the frozen formula as a practical internal prioritization index; they do not establish calibrated probabilities or external performance.</w:t>
      </w:r>
    </w:p>
    <w:p w14:paraId="679A2508" w14:textId="77777777">
      <w:pPr>
        <w:pStyle w:val="Heading2"/>
      </w:pPr>
      <w:r>
        <w:t>S6 Text. Pathogenicity comparison, directional enrichment, and gain of function</w:t>
      </w:r>
    </w:p>
    <w:p w14:paraId="1F8B9D5E" w14:textId="77777777">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w14:paraId="4A20E37C" w14:textId="77777777">
      <w:pPr>
        <w:pStyle w:val="Caption"/>
        <w:keepNext/>
      </w:pPr>
      <w:r>
        <w:t>S12 Table.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906"/>
        <w:gridCol w:w="1875"/>
        <w:gridCol w:w="4373"/>
      </w:tblGrid>
      <w:tr w14:paraId="513BED6C" w14:textId="77777777">
        <w:trPr>
          <w:cantSplit/>
          <w:tblHeader/>
        </w:trPr>
        <w:tc>
          <w:tcPr>
            <w:tcW w:w="3600" w:type="dxa"/>
            <w:shd w:val="clear" w:color="auto" w:fill="173B59"/>
            <w:tcMar>
              <w:top w:w="60" w:type="dxa"/>
              <w:left w:w="80" w:type="dxa"/>
              <w:bottom w:w="60" w:type="dxa"/>
              <w:right w:w="80" w:type="dxa"/>
            </w:tcMar>
            <w:vAlign w:val="center"/>
          </w:tcPr>
          <w:p w14:paraId="6AC3D8B2" w14:textId="77777777">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w14:paraId="765D1DE5" w14:textId="77777777">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w14:paraId="6D50D658" w14:textId="77777777">
            <w:pPr>
              <w:spacing w:after="0" w:line="240" w:lineRule="auto"/>
            </w:pPr>
            <w:r>
              <w:rPr>
                <w:b/>
                <w:color w:val="FFFFFF"/>
                <w:sz w:val="15"/>
              </w:rPr>
              <w:t>Intended interpretation</w:t>
            </w:r>
          </w:p>
        </w:tc>
      </w:tr>
      <w:tr w14:paraId="4B997223" w14:textId="77777777">
        <w:trPr>
          <w:cantSplit/>
        </w:trPr>
        <w:tc>
          <w:tcPr>
            <w:tcW w:w="3600" w:type="dxa"/>
            <w:tcMar>
              <w:top w:w="60" w:type="dxa"/>
              <w:left w:w="80" w:type="dxa"/>
              <w:bottom w:w="60" w:type="dxa"/>
              <w:right w:w="80" w:type="dxa"/>
            </w:tcMar>
            <w:vAlign w:val="center"/>
          </w:tcPr>
          <w:p w14:paraId="03102107" w14:textId="77777777">
            <w:pPr>
              <w:spacing w:after="0" w:line="240" w:lineRule="auto"/>
            </w:pPr>
            <w:r>
              <w:rPr>
                <w:sz w:val="15"/>
              </w:rPr>
              <w:t>AlphaMissense</w:t>
            </w:r>
          </w:p>
        </w:tc>
        <w:tc>
          <w:tcPr>
            <w:tcW w:w="1728" w:type="dxa"/>
            <w:tcMar>
              <w:top w:w="60" w:type="dxa"/>
              <w:left w:w="80" w:type="dxa"/>
              <w:bottom w:w="60" w:type="dxa"/>
              <w:right w:w="80" w:type="dxa"/>
            </w:tcMar>
            <w:vAlign w:val="center"/>
          </w:tcPr>
          <w:p w14:paraId="1CCFC663" w14:textId="77777777">
            <w:pPr>
              <w:spacing w:after="0" w:line="240" w:lineRule="auto"/>
            </w:pPr>
            <w:r>
              <w:rPr>
                <w:sz w:val="15"/>
              </w:rPr>
              <w:t>0.903</w:t>
            </w:r>
          </w:p>
        </w:tc>
        <w:tc>
          <w:tcPr>
            <w:tcW w:w="4031" w:type="dxa"/>
            <w:tcMar>
              <w:top w:w="60" w:type="dxa"/>
              <w:left w:w="80" w:type="dxa"/>
              <w:bottom w:w="60" w:type="dxa"/>
              <w:right w:w="80" w:type="dxa"/>
            </w:tcMar>
            <w:vAlign w:val="center"/>
          </w:tcPr>
          <w:p w14:paraId="69FA8A53" w14:textId="77777777">
            <w:pPr>
              <w:spacing w:after="0" w:line="240" w:lineRule="auto"/>
            </w:pPr>
            <w:r>
              <w:rPr>
                <w:sz w:val="15"/>
              </w:rPr>
              <w:t>Pathogenicity ranking</w:t>
            </w:r>
          </w:p>
        </w:tc>
      </w:tr>
      <w:tr w14:paraId="014DA754" w14:textId="77777777">
        <w:trPr>
          <w:cantSplit/>
        </w:trPr>
        <w:tc>
          <w:tcPr>
            <w:tcW w:w="3600" w:type="dxa"/>
            <w:shd w:val="clear" w:color="auto" w:fill="EEF2F6"/>
            <w:tcMar>
              <w:top w:w="60" w:type="dxa"/>
              <w:left w:w="80" w:type="dxa"/>
              <w:bottom w:w="60" w:type="dxa"/>
              <w:right w:w="80" w:type="dxa"/>
            </w:tcMar>
            <w:vAlign w:val="center"/>
          </w:tcPr>
          <w:p w14:paraId="58BC7657" w14:textId="77777777">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w14:paraId="5114C856" w14:textId="77777777">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w14:paraId="25567831" w14:textId="77777777">
            <w:pPr>
              <w:spacing w:after="0" w:line="240" w:lineRule="auto"/>
            </w:pPr>
            <w:r>
              <w:rPr>
                <w:sz w:val="15"/>
              </w:rPr>
              <w:t>Integrated structural-disruption priority</w:t>
            </w:r>
          </w:p>
        </w:tc>
      </w:tr>
      <w:tr w14:paraId="096ED6BE" w14:textId="77777777">
        <w:trPr>
          <w:cantSplit/>
        </w:trPr>
        <w:tc>
          <w:tcPr>
            <w:tcW w:w="3600" w:type="dxa"/>
            <w:tcMar>
              <w:top w:w="60" w:type="dxa"/>
              <w:left w:w="80" w:type="dxa"/>
              <w:bottom w:w="60" w:type="dxa"/>
              <w:right w:w="80" w:type="dxa"/>
            </w:tcMar>
            <w:vAlign w:val="center"/>
          </w:tcPr>
          <w:p w14:paraId="1B18E57C" w14:textId="77777777">
            <w:pPr>
              <w:spacing w:after="0" w:line="240" w:lineRule="auto"/>
            </w:pPr>
            <w:r>
              <w:rPr>
                <w:sz w:val="15"/>
              </w:rPr>
              <w:t>ISDS energetic component</w:t>
            </w:r>
          </w:p>
        </w:tc>
        <w:tc>
          <w:tcPr>
            <w:tcW w:w="1728" w:type="dxa"/>
            <w:tcMar>
              <w:top w:w="60" w:type="dxa"/>
              <w:left w:w="80" w:type="dxa"/>
              <w:bottom w:w="60" w:type="dxa"/>
              <w:right w:w="80" w:type="dxa"/>
            </w:tcMar>
            <w:vAlign w:val="center"/>
          </w:tcPr>
          <w:p w14:paraId="252880B8" w14:textId="77777777">
            <w:pPr>
              <w:spacing w:after="0" w:line="240" w:lineRule="auto"/>
            </w:pPr>
            <w:r>
              <w:rPr>
                <w:sz w:val="15"/>
              </w:rPr>
              <w:t>0.836</w:t>
            </w:r>
          </w:p>
        </w:tc>
        <w:tc>
          <w:tcPr>
            <w:tcW w:w="4031" w:type="dxa"/>
            <w:tcMar>
              <w:top w:w="60" w:type="dxa"/>
              <w:left w:w="80" w:type="dxa"/>
              <w:bottom w:w="60" w:type="dxa"/>
              <w:right w:w="80" w:type="dxa"/>
            </w:tcMar>
            <w:vAlign w:val="center"/>
          </w:tcPr>
          <w:p w14:paraId="1DDEDA71" w14:textId="77777777">
            <w:pPr>
              <w:spacing w:after="0" w:line="240" w:lineRule="auto"/>
            </w:pPr>
            <w:r>
              <w:rPr>
                <w:sz w:val="15"/>
              </w:rPr>
              <w:t>Energetic structural evidence</w:t>
            </w:r>
          </w:p>
        </w:tc>
      </w:tr>
      <w:tr w14:paraId="2B3F432E" w14:textId="77777777">
        <w:trPr>
          <w:cantSplit/>
        </w:trPr>
        <w:tc>
          <w:tcPr>
            <w:tcW w:w="3600" w:type="dxa"/>
            <w:shd w:val="clear" w:color="auto" w:fill="EEF2F6"/>
            <w:tcMar>
              <w:top w:w="60" w:type="dxa"/>
              <w:left w:w="80" w:type="dxa"/>
              <w:bottom w:w="60" w:type="dxa"/>
              <w:right w:w="80" w:type="dxa"/>
            </w:tcMar>
            <w:vAlign w:val="center"/>
          </w:tcPr>
          <w:p w14:paraId="7C30DCE5" w14:textId="77777777">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w14:paraId="799749A4" w14:textId="77777777">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w14:paraId="3BF11855" w14:textId="77777777">
            <w:pPr>
              <w:spacing w:after="0" w:line="240" w:lineRule="auto"/>
            </w:pPr>
            <w:r>
              <w:rPr>
                <w:sz w:val="15"/>
              </w:rPr>
              <w:t>Structural-context strength</w:t>
            </w:r>
          </w:p>
        </w:tc>
      </w:tr>
    </w:tbl>
    <w:p w14:paraId="35010E6F" w14:textId="77777777">
      <w:r>
        <w:rPr>
          <w:rFonts w:ascii="Arial" w:hAnsi="Arial" w:eastAsia="Arial"/>
        </w:rPr>
        <w:t>On the common complete-case population of 47 clinically labelled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49 benchmark variants carrying an AlphaMissense class, and scoring against the curated clinical annotation rather than the structural ground truth used elsewhere, AlphaMissense was correct on 38 of its 43 confident calls (0.884) and on 40 of 49 (0.816) when the four ambiguous scores were resolved at a pathogenicity threshold of 0.5 and the two variants without a score were counted as errors. The five confident-call errors were MLH1 V384D and K618E called likely pathogenic against benign annotations, and HBB E6V, CALM1 N98S and CFH R53H called likely benign against pathogenic annotations. Those counts use a different decision convention and ground truth from the rest of this work; the common-set pathogenicity AUC comparison is the primary cross-method summary.</w:t>
      </w:r>
    </w:p>
    <w:p w14:paraId="0493802F" w14:textId="77777777">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w14:paraId="29A945F8" w14:textId="77777777">
      <w:r>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w14:paraId="5DEE0C17" w14:textId="77777777">
      <w:pPr>
        <w:pStyle w:val="Heading2"/>
      </w:pPr>
      <w:r>
        <w:t>S7 Text. Robustness, uncertainty, and metric reconciliation</w:t>
      </w:r>
    </w:p>
    <w:p w14:paraId="1052B5C2" w14:textId="77777777">
      <w:r>
        <w:t xml:space="preserve">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w:t>
      </w:r>
      <w:r>
        <w:t>or commitment cases from both whole-variant mechanism scoring and the continuity denominator, giving 89/124 = 0.718 at 2.5 and 87/124 = 0.702 at tSAP. The all-row denominator audit is 89/125 = 0.712 at 2.5. Naive recounts based only on raw ΔΔG sign or per-partner values do not reproduce the metric because the shipped scorer applies direction, operating-point, confidence, and interval gates.</w:t>
      </w:r>
    </w:p>
    <w:p w14:paraId="5013A06D" w14:textId="77777777">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36.0/50 = 0.720 against 39.5/57 = 0.693 on the full graded set, a difference of 0.027.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w14:paraId="1BFE6458" w14:textId="77777777">
      <w:pPr>
        <w:pStyle w:val="Caption"/>
        <w:keepNext/>
      </w:pPr>
      <w:r>
        <w:t>S13 Table.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436"/>
        <w:gridCol w:w="3359"/>
        <w:gridCol w:w="3359"/>
      </w:tblGrid>
      <w:tr w14:paraId="2C33F116" w14:textId="77777777">
        <w:trPr>
          <w:cantSplit/>
          <w:tblHeader/>
        </w:trPr>
        <w:tc>
          <w:tcPr>
            <w:tcW w:w="3240" w:type="dxa"/>
            <w:shd w:val="clear" w:color="auto" w:fill="173B59"/>
            <w:tcMar>
              <w:top w:w="60" w:type="dxa"/>
              <w:left w:w="80" w:type="dxa"/>
              <w:bottom w:w="60" w:type="dxa"/>
              <w:right w:w="80" w:type="dxa"/>
            </w:tcMar>
            <w:vAlign w:val="center"/>
          </w:tcPr>
          <w:p w14:paraId="095C4948" w14:textId="77777777">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w14:paraId="3474034F" w14:textId="77777777">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w14:paraId="61AFB15C" w14:textId="77777777">
            <w:pPr>
              <w:spacing w:after="0" w:line="240" w:lineRule="auto"/>
            </w:pPr>
            <w:r>
              <w:rPr>
                <w:b/>
                <w:sz w:val="15"/>
              </w:rPr>
              <w:t>Four-output continuity aggregate</w:t>
            </w:r>
          </w:p>
        </w:tc>
      </w:tr>
      <w:tr w14:paraId="572FAB74" w14:textId="77777777">
        <w:trPr>
          <w:cantSplit/>
        </w:trPr>
        <w:tc>
          <w:tcPr>
            <w:tcW w:w="3240" w:type="dxa"/>
            <w:tcMar>
              <w:top w:w="60" w:type="dxa"/>
              <w:left w:w="80" w:type="dxa"/>
              <w:bottom w:w="60" w:type="dxa"/>
              <w:right w:w="80" w:type="dxa"/>
            </w:tcMar>
            <w:vAlign w:val="center"/>
          </w:tcPr>
          <w:p w14:paraId="5FB4AA96" w14:textId="77777777">
            <w:pPr>
              <w:spacing w:after="0" w:line="240" w:lineRule="auto"/>
            </w:pPr>
            <w:r>
              <w:rPr>
                <w:sz w:val="15"/>
              </w:rPr>
              <w:t>Observed at 2.5</w:t>
            </w:r>
          </w:p>
        </w:tc>
        <w:tc>
          <w:tcPr>
            <w:tcW w:w="3168" w:type="dxa"/>
            <w:tcMar>
              <w:top w:w="60" w:type="dxa"/>
              <w:left w:w="80" w:type="dxa"/>
              <w:bottom w:w="60" w:type="dxa"/>
              <w:right w:w="80" w:type="dxa"/>
            </w:tcMar>
            <w:vAlign w:val="center"/>
          </w:tcPr>
          <w:p w14:paraId="31013547" w14:textId="77777777">
            <w:pPr>
              <w:spacing w:after="0" w:line="240" w:lineRule="auto"/>
            </w:pPr>
            <w:r>
              <w:rPr>
                <w:sz w:val="15"/>
              </w:rPr>
              <w:t>0.693</w:t>
            </w:r>
          </w:p>
        </w:tc>
        <w:tc>
          <w:tcPr>
            <w:tcW w:w="3168" w:type="dxa"/>
            <w:tcMar>
              <w:top w:w="60" w:type="dxa"/>
              <w:left w:w="80" w:type="dxa"/>
              <w:bottom w:w="60" w:type="dxa"/>
              <w:right w:w="80" w:type="dxa"/>
            </w:tcMar>
            <w:vAlign w:val="center"/>
          </w:tcPr>
          <w:p w14:paraId="1665B724" w14:textId="77777777">
            <w:pPr>
              <w:spacing w:after="0" w:line="240" w:lineRule="auto"/>
            </w:pPr>
            <w:r>
              <w:rPr>
                <w:sz w:val="15"/>
              </w:rPr>
              <w:t>0.718</w:t>
            </w:r>
          </w:p>
        </w:tc>
      </w:tr>
      <w:tr w14:paraId="3DB64656" w14:textId="77777777">
        <w:trPr>
          <w:cantSplit/>
        </w:trPr>
        <w:tc>
          <w:tcPr>
            <w:tcW w:w="3240" w:type="dxa"/>
            <w:shd w:val="clear" w:color="auto" w:fill="EEF2F6"/>
            <w:tcMar>
              <w:top w:w="60" w:type="dxa"/>
              <w:left w:w="80" w:type="dxa"/>
              <w:bottom w:w="60" w:type="dxa"/>
              <w:right w:w="80" w:type="dxa"/>
            </w:tcMar>
            <w:vAlign w:val="center"/>
          </w:tcPr>
          <w:p w14:paraId="5AD17700" w14:textId="77777777">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w14:paraId="30CF307D" w14:textId="77777777">
            <w:pPr>
              <w:spacing w:after="0" w:line="240" w:lineRule="auto"/>
            </w:pPr>
            <w:r>
              <w:rPr>
                <w:sz w:val="15"/>
              </w:rPr>
              <w:t>0.472 ± 0.052; p = 5 × 10^-4</w:t>
            </w:r>
          </w:p>
        </w:tc>
        <w:tc>
          <w:tcPr>
            <w:tcW w:w="3168" w:type="dxa"/>
            <w:shd w:val="clear" w:color="auto" w:fill="EEF2F6"/>
            <w:tcMar>
              <w:top w:w="60" w:type="dxa"/>
              <w:left w:w="80" w:type="dxa"/>
              <w:bottom w:w="60" w:type="dxa"/>
              <w:right w:w="80" w:type="dxa"/>
            </w:tcMar>
            <w:vAlign w:val="center"/>
          </w:tcPr>
          <w:p w14:paraId="1783FE0F" w14:textId="77777777">
            <w:pPr>
              <w:spacing w:after="0" w:line="240" w:lineRule="auto"/>
            </w:pPr>
            <w:r>
              <w:rPr>
                <w:sz w:val="15"/>
              </w:rPr>
              <w:t>0.535 ± 0.046; p = 5 × 10^-4</w:t>
            </w:r>
          </w:p>
        </w:tc>
      </w:tr>
      <w:tr w14:paraId="4196BA3D" w14:textId="77777777">
        <w:trPr>
          <w:cantSplit/>
        </w:trPr>
        <w:tc>
          <w:tcPr>
            <w:tcW w:w="3240" w:type="dxa"/>
            <w:tcMar>
              <w:top w:w="60" w:type="dxa"/>
              <w:left w:w="80" w:type="dxa"/>
              <w:bottom w:w="60" w:type="dxa"/>
              <w:right w:w="80" w:type="dxa"/>
            </w:tcMar>
            <w:vAlign w:val="center"/>
          </w:tcPr>
          <w:p w14:paraId="14B536A0" w14:textId="77777777">
            <w:pPr>
              <w:spacing w:after="0" w:line="240" w:lineRule="auto"/>
            </w:pPr>
            <w:r>
              <w:rPr>
                <w:sz w:val="15"/>
              </w:rPr>
              <w:t>Leave one system out</w:t>
            </w:r>
          </w:p>
        </w:tc>
        <w:tc>
          <w:tcPr>
            <w:tcW w:w="3168" w:type="dxa"/>
            <w:tcMar>
              <w:top w:w="60" w:type="dxa"/>
              <w:left w:w="80" w:type="dxa"/>
              <w:bottom w:w="60" w:type="dxa"/>
              <w:right w:w="80" w:type="dxa"/>
            </w:tcMar>
            <w:vAlign w:val="center"/>
          </w:tcPr>
          <w:p w14:paraId="06FD4263" w14:textId="77777777">
            <w:pPr>
              <w:spacing w:after="0" w:line="240" w:lineRule="auto"/>
            </w:pPr>
            <w:r>
              <w:rPr>
                <w:sz w:val="15"/>
              </w:rPr>
              <w:t>0.6759-0.7130</w:t>
            </w:r>
          </w:p>
        </w:tc>
        <w:tc>
          <w:tcPr>
            <w:tcW w:w="3168" w:type="dxa"/>
            <w:tcMar>
              <w:top w:w="60" w:type="dxa"/>
              <w:left w:w="80" w:type="dxa"/>
              <w:bottom w:w="60" w:type="dxa"/>
              <w:right w:w="80" w:type="dxa"/>
            </w:tcMar>
            <w:vAlign w:val="center"/>
          </w:tcPr>
          <w:p w14:paraId="3CE89486" w14:textId="77777777">
            <w:pPr>
              <w:spacing w:after="0" w:line="240" w:lineRule="auto"/>
            </w:pPr>
            <w:r>
              <w:rPr>
                <w:sz w:val="15"/>
              </w:rPr>
              <w:t>0.7009-0.7321</w:t>
            </w:r>
          </w:p>
        </w:tc>
      </w:tr>
      <w:tr w14:paraId="0406374A" w14:textId="77777777">
        <w:trPr>
          <w:cantSplit/>
        </w:trPr>
        <w:tc>
          <w:tcPr>
            <w:tcW w:w="3240" w:type="dxa"/>
            <w:shd w:val="clear" w:color="auto" w:fill="EEF2F6"/>
            <w:tcMar>
              <w:top w:w="60" w:type="dxa"/>
              <w:left w:w="80" w:type="dxa"/>
              <w:bottom w:w="60" w:type="dxa"/>
              <w:right w:w="80" w:type="dxa"/>
            </w:tcMar>
            <w:vAlign w:val="center"/>
          </w:tcPr>
          <w:p w14:paraId="4E737CAB" w14:textId="77777777">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w14:paraId="3F82830A" w14:textId="77777777">
            <w:pPr>
              <w:spacing w:after="0" w:line="240" w:lineRule="auto"/>
            </w:pPr>
            <w:r>
              <w:rPr>
                <w:sz w:val="15"/>
              </w:rPr>
              <w:t>0.694 ± 0.013</w:t>
            </w:r>
          </w:p>
        </w:tc>
        <w:tc>
          <w:tcPr>
            <w:tcW w:w="3168" w:type="dxa"/>
            <w:shd w:val="clear" w:color="auto" w:fill="EEF2F6"/>
            <w:tcMar>
              <w:top w:w="60" w:type="dxa"/>
              <w:left w:w="80" w:type="dxa"/>
              <w:bottom w:w="60" w:type="dxa"/>
              <w:right w:w="80" w:type="dxa"/>
            </w:tcMar>
            <w:vAlign w:val="center"/>
          </w:tcPr>
          <w:p w14:paraId="0CE9E516" w14:textId="77777777">
            <w:pPr>
              <w:spacing w:after="0" w:line="240" w:lineRule="auto"/>
            </w:pPr>
            <w:r>
              <w:rPr>
                <w:sz w:val="15"/>
              </w:rPr>
              <w:t>0.715 ± 0.004</w:t>
            </w:r>
          </w:p>
        </w:tc>
      </w:tr>
      <w:tr w14:paraId="4D0EB73F" w14:textId="77777777">
        <w:trPr>
          <w:cantSplit/>
        </w:trPr>
        <w:tc>
          <w:tcPr>
            <w:tcW w:w="3240" w:type="dxa"/>
            <w:tcMar>
              <w:top w:w="60" w:type="dxa"/>
              <w:left w:w="80" w:type="dxa"/>
              <w:bottom w:w="60" w:type="dxa"/>
              <w:right w:w="80" w:type="dxa"/>
            </w:tcMar>
            <w:vAlign w:val="center"/>
          </w:tcPr>
          <w:p w14:paraId="7D83D17E" w14:textId="77777777">
            <w:pPr>
              <w:spacing w:after="0" w:line="240" w:lineRule="auto"/>
            </w:pPr>
            <w:r>
              <w:rPr>
                <w:sz w:val="15"/>
              </w:rPr>
              <w:t>Variant bootstrap, n = 2,000</w:t>
            </w:r>
          </w:p>
        </w:tc>
        <w:tc>
          <w:tcPr>
            <w:tcW w:w="3168" w:type="dxa"/>
            <w:tcMar>
              <w:top w:w="60" w:type="dxa"/>
              <w:left w:w="80" w:type="dxa"/>
              <w:bottom w:w="60" w:type="dxa"/>
              <w:right w:w="80" w:type="dxa"/>
            </w:tcMar>
            <w:vAlign w:val="center"/>
          </w:tcPr>
          <w:p w14:paraId="4508D725" w14:textId="77777777">
            <w:pPr>
              <w:spacing w:after="0" w:line="240" w:lineRule="auto"/>
            </w:pPr>
            <w:r>
              <w:rPr>
                <w:sz w:val="15"/>
              </w:rPr>
              <w:t>95% CI 0.586-0.793</w:t>
            </w:r>
          </w:p>
        </w:tc>
        <w:tc>
          <w:tcPr>
            <w:tcW w:w="3168" w:type="dxa"/>
            <w:tcMar>
              <w:top w:w="60" w:type="dxa"/>
              <w:left w:w="80" w:type="dxa"/>
              <w:bottom w:w="60" w:type="dxa"/>
              <w:right w:w="80" w:type="dxa"/>
            </w:tcMar>
            <w:vAlign w:val="center"/>
          </w:tcPr>
          <w:p w14:paraId="7F327064" w14:textId="77777777">
            <w:pPr>
              <w:spacing w:after="0" w:line="240" w:lineRule="auto"/>
            </w:pPr>
            <w:r>
              <w:rPr>
                <w:sz w:val="15"/>
              </w:rPr>
              <w:t>95% CI 0.634-0.797</w:t>
            </w:r>
          </w:p>
        </w:tc>
      </w:tr>
      <w:tr w14:paraId="402ACFE7" w14:textId="77777777">
        <w:trPr>
          <w:cantSplit/>
        </w:trPr>
        <w:tc>
          <w:tcPr>
            <w:tcW w:w="3240" w:type="dxa"/>
            <w:shd w:val="clear" w:color="auto" w:fill="EEF2F6"/>
            <w:tcMar>
              <w:top w:w="60" w:type="dxa"/>
              <w:left w:w="80" w:type="dxa"/>
              <w:bottom w:w="60" w:type="dxa"/>
              <w:right w:w="80" w:type="dxa"/>
            </w:tcMar>
            <w:vAlign w:val="center"/>
          </w:tcPr>
          <w:p w14:paraId="4898BCBC" w14:textId="77777777">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w14:paraId="268D51C3" w14:textId="77777777">
            <w:pPr>
              <w:spacing w:after="0" w:line="240" w:lineRule="auto"/>
            </w:pPr>
            <w:r>
              <w:rPr>
                <w:sz w:val="15"/>
              </w:rPr>
              <w:t>95% CI 0.604-0.790</w:t>
            </w:r>
          </w:p>
        </w:tc>
        <w:tc>
          <w:tcPr>
            <w:tcW w:w="3168" w:type="dxa"/>
            <w:shd w:val="clear" w:color="auto" w:fill="EEF2F6"/>
            <w:tcMar>
              <w:top w:w="60" w:type="dxa"/>
              <w:left w:w="80" w:type="dxa"/>
              <w:bottom w:w="60" w:type="dxa"/>
              <w:right w:w="80" w:type="dxa"/>
            </w:tcMar>
            <w:vAlign w:val="center"/>
          </w:tcPr>
          <w:p w14:paraId="16867B09" w14:textId="77777777">
            <w:pPr>
              <w:spacing w:after="0" w:line="240" w:lineRule="auto"/>
            </w:pPr>
            <w:r>
              <w:rPr>
                <w:sz w:val="15"/>
              </w:rPr>
              <w:t>95% CI 0.650-0.791</w:t>
            </w:r>
          </w:p>
        </w:tc>
      </w:tr>
    </w:tbl>
    <w:p w14:paraId="45769D45" w14:textId="77777777">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w14:paraId="727C3D6D" w14:textId="77777777">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w14:paraId="234D64E0" w14:textId="77777777">
      <w:pPr>
        <w:jc w:val="center"/>
      </w:pPr>
      <w:r>
        <w:rPr>
          <w:noProof/>
        </w:rPr>
        <w:drawing>
          <wp:inline distT="0" distB="0" distL="0" distR="0" wp14:anchorId="6B9DBF69" wp14: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89320" cy="2162810"/>
                    </a:xfrm>
                    <a:prstGeom prst="rect">
                      <a:avLst/>
                    </a:prstGeom>
                  </pic:spPr>
                </pic:pic>
              </a:graphicData>
            </a:graphic>
          </wp:inline>
        </w:drawing>
      </w:r>
    </w:p>
    <w:p w14:paraId="6B23BCF7" w14:textId="77777777">
      <w:pPr>
        <w:pStyle w:val="Caption"/>
        <w:keepNext/>
        <w:keepLines/>
        <w:spacing w:before="60" w:after="160"/>
      </w:pPr>
      <w:r>
        <w:t>S1 Fig.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w14:paraId="55153688" w14:textId="77777777">
      <w:pPr>
        <w:pStyle w:val="Heading2"/>
      </w:pPr>
      <w:r>
        <w:t>S8 Text. Independent binding-axis validation on SKEMPI 2.0</w:t>
      </w:r>
    </w:p>
    <w:p w14:paraId="29D9E157" w14:textId="77777777">
      <w:r>
        <w:t>The hemoglobin series provides a high-quality within-system anchor but does not test generalization across unrelated interfaces. We therefore scored two independent SKEMPI 2.0 complexes [52] with the frozen COMAVI workflow: barnase-barstar (24 substitutions) and TEM1-BLIP (24 substitutions on the unambiguously mapped BLIP side). Measured binding ΔΔG was calculated as RT ln(K_D,mut/K_D,wt).</w:t>
      </w:r>
    </w:p>
    <w:p>
      <w:r>
        <w:rPr>
          <w:b/>
        </w:rPr>
        <w:t>S9 Text. Do high-priority variants also have their mechanism graded correctly?</w:t>
      </w:r>
    </w:p>
    <w:p>
      <w:r>
        <w:rPr>
          <w:b w:val="0"/>
        </w:rP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shows they agree. Of the 20 variants with a modeled structural mechanism, the 17 recovered in the top 20 have a mean mechanism-pattern grade of 0.588, against 0.167 for the three that rank outside it, and the priority score correlates with the grade across all 20 (Spearman rho = 0.482, p = 0.031). No variant graded fully consistent falls outside the top 20, so the ranking does not bury a variant whose mechanism COMAVI resolves. Within the top 20 the grades are 5 consistent, 10 partial and 2 inconsistent; the two inconsistent cases are MLH1 R755W at rank 11 and PIK3CA E545K at rank 15, and they are the failure mode this analysis is designed to expose - correctly prioritized, incorrectly explained. The three structural mechanisms outside the top 20 are HBB W37Y at rank 21, immediately below the cut, and KRAS G12D and G12V at ranks 33 and 39. The KRAS pair is the limitation already stated in Section 4: both act through nucleotide-state-dependent signalling rather than through an interface lesion an interface-weighted index can score, and both are also the variants graded inconsistent outside the top 20. The same mechanism class that the ranking misses is the one the grading misses, which is consistent rather than compounding.</w:t>
      </w:r>
    </w:p>
    <w:p w14:paraId="26A68998" w14:textId="77777777">
      <w:pPr>
        <w:pStyle w:val="Caption"/>
        <w:keepNext/>
      </w:pPr>
      <w:r>
        <w:t>S14 Table.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74"/>
        <w:gridCol w:w="3141"/>
        <w:gridCol w:w="510"/>
        <w:gridCol w:w="1461"/>
        <w:gridCol w:w="1461"/>
        <w:gridCol w:w="1607"/>
      </w:tblGrid>
      <w:tr w14:paraId="5AFE52FE" w14:textId="77777777">
        <w:trPr>
          <w:cantSplit/>
          <w:tblHeader/>
        </w:trPr>
        <w:tc>
          <w:tcPr>
            <w:tcW w:w="1944" w:type="dxa"/>
            <w:shd w:val="clear" w:color="auto" w:fill="173B59"/>
            <w:tcMar>
              <w:top w:w="60" w:type="dxa"/>
              <w:left w:w="80" w:type="dxa"/>
              <w:bottom w:w="60" w:type="dxa"/>
              <w:right w:w="80" w:type="dxa"/>
            </w:tcMar>
            <w:vAlign w:val="center"/>
          </w:tcPr>
          <w:p w14:paraId="5DF94E87" w14:textId="77777777">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w14:paraId="404687BB" w14:textId="77777777">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w14:paraId="6CD1DFFB" w14:textId="77777777">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w14:paraId="4A8A9239" w14:textId="77777777">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w14:paraId="4118803B" w14:textId="77777777">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w14:paraId="63FC2402" w14:textId="77777777">
            <w:pPr>
              <w:spacing w:after="0" w:line="240" w:lineRule="auto"/>
            </w:pPr>
            <w:r>
              <w:rPr>
                <w:b/>
                <w:color w:val="FFFFFF"/>
                <w:sz w:val="15"/>
              </w:rPr>
              <w:t>Sign-correct on destabilizers</w:t>
            </w:r>
          </w:p>
        </w:tc>
      </w:tr>
      <w:tr w14:paraId="5132F987" w14:textId="77777777">
        <w:trPr>
          <w:cantSplit/>
        </w:trPr>
        <w:tc>
          <w:tcPr>
            <w:tcW w:w="1944" w:type="dxa"/>
            <w:tcMar>
              <w:top w:w="60" w:type="dxa"/>
              <w:left w:w="80" w:type="dxa"/>
              <w:bottom w:w="60" w:type="dxa"/>
              <w:right w:w="80" w:type="dxa"/>
            </w:tcMar>
            <w:vAlign w:val="center"/>
          </w:tcPr>
          <w:p w14:paraId="69C2B42F" w14:textId="77777777">
            <w:pPr>
              <w:spacing w:after="0" w:line="240" w:lineRule="auto"/>
            </w:pPr>
            <w:r>
              <w:rPr>
                <w:sz w:val="15"/>
              </w:rPr>
              <w:t>Barnase-barstar, all</w:t>
            </w:r>
          </w:p>
        </w:tc>
        <w:tc>
          <w:tcPr>
            <w:tcW w:w="3096" w:type="dxa"/>
            <w:tcMar>
              <w:top w:w="60" w:type="dxa"/>
              <w:left w:w="80" w:type="dxa"/>
              <w:bottom w:w="60" w:type="dxa"/>
              <w:right w:w="80" w:type="dxa"/>
            </w:tcMar>
            <w:vAlign w:val="center"/>
          </w:tcPr>
          <w:p w14:paraId="6D876E13" w14:textId="77777777">
            <w:pPr>
              <w:spacing w:after="0" w:line="240" w:lineRule="auto"/>
            </w:pPr>
            <w:r>
              <w:rPr>
                <w:sz w:val="15"/>
              </w:rPr>
              <w:t>ITC 10; stopped-flow 9; inactivation 5</w:t>
            </w:r>
          </w:p>
        </w:tc>
        <w:tc>
          <w:tcPr>
            <w:tcW w:w="503" w:type="dxa"/>
            <w:tcMar>
              <w:top w:w="60" w:type="dxa"/>
              <w:left w:w="80" w:type="dxa"/>
              <w:bottom w:w="60" w:type="dxa"/>
              <w:right w:w="80" w:type="dxa"/>
            </w:tcMar>
            <w:vAlign w:val="center"/>
          </w:tcPr>
          <w:p w14:paraId="7F96CA88" w14:textId="77777777">
            <w:pPr>
              <w:spacing w:after="0" w:line="240" w:lineRule="auto"/>
            </w:pPr>
            <w:r>
              <w:rPr>
                <w:sz w:val="15"/>
              </w:rPr>
              <w:t>24</w:t>
            </w:r>
          </w:p>
        </w:tc>
        <w:tc>
          <w:tcPr>
            <w:tcW w:w="1440" w:type="dxa"/>
            <w:tcMar>
              <w:top w:w="60" w:type="dxa"/>
              <w:left w:w="80" w:type="dxa"/>
              <w:bottom w:w="60" w:type="dxa"/>
              <w:right w:w="80" w:type="dxa"/>
            </w:tcMar>
            <w:vAlign w:val="center"/>
          </w:tcPr>
          <w:p w14:paraId="56E4B885" w14:textId="77777777">
            <w:pPr>
              <w:spacing w:after="0" w:line="240" w:lineRule="auto"/>
            </w:pPr>
            <w:r>
              <w:rPr>
                <w:sz w:val="15"/>
              </w:rPr>
              <w:t>0.37 (p = 0.074)</w:t>
            </w:r>
          </w:p>
        </w:tc>
        <w:tc>
          <w:tcPr>
            <w:tcW w:w="1440" w:type="dxa"/>
            <w:tcMar>
              <w:top w:w="60" w:type="dxa"/>
              <w:left w:w="80" w:type="dxa"/>
              <w:bottom w:w="60" w:type="dxa"/>
              <w:right w:w="80" w:type="dxa"/>
            </w:tcMar>
            <w:vAlign w:val="center"/>
          </w:tcPr>
          <w:p w14:paraId="1F879C90" w14:textId="77777777">
            <w:pPr>
              <w:spacing w:after="0" w:line="240" w:lineRule="auto"/>
            </w:pPr>
            <w:r>
              <w:rPr>
                <w:sz w:val="15"/>
              </w:rPr>
              <w:t>0.30 (p = 0.156)</w:t>
            </w:r>
          </w:p>
        </w:tc>
        <w:tc>
          <w:tcPr>
            <w:tcW w:w="1584" w:type="dxa"/>
            <w:tcMar>
              <w:top w:w="60" w:type="dxa"/>
              <w:left w:w="80" w:type="dxa"/>
              <w:bottom w:w="60" w:type="dxa"/>
              <w:right w:w="80" w:type="dxa"/>
            </w:tcMar>
            <w:vAlign w:val="center"/>
          </w:tcPr>
          <w:p w14:paraId="308DF669" w14:textId="77777777">
            <w:pPr>
              <w:spacing w:after="0" w:line="240" w:lineRule="auto"/>
            </w:pPr>
            <w:r>
              <w:rPr>
                <w:sz w:val="15"/>
              </w:rPr>
              <w:t>14/22 (64%)</w:t>
            </w:r>
          </w:p>
        </w:tc>
      </w:tr>
      <w:tr w14:paraId="48F0F163" w14:textId="77777777">
        <w:trPr>
          <w:cantSplit/>
        </w:trPr>
        <w:tc>
          <w:tcPr>
            <w:tcW w:w="1944" w:type="dxa"/>
            <w:shd w:val="clear" w:color="auto" w:fill="EEF2F6"/>
            <w:tcMar>
              <w:top w:w="60" w:type="dxa"/>
              <w:left w:w="80" w:type="dxa"/>
              <w:bottom w:w="60" w:type="dxa"/>
              <w:right w:w="80" w:type="dxa"/>
            </w:tcMar>
            <w:vAlign w:val="center"/>
          </w:tcPr>
          <w:p w14:paraId="2B9B92A6" w14:textId="77777777">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w14:paraId="0A55C5A5" w14:textId="77777777">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w14:paraId="178C0E88" w14:textId="77777777">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w14:paraId="731624BC" w14:textId="77777777">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w14:paraId="338C3C61" w14:textId="77777777">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w14:paraId="25F52749" w14:textId="77777777">
            <w:pPr>
              <w:spacing w:after="0" w:line="240" w:lineRule="auto"/>
            </w:pPr>
            <w:r>
              <w:rPr>
                <w:sz w:val="15"/>
              </w:rPr>
              <w:t>14/15 (93%)</w:t>
            </w:r>
          </w:p>
        </w:tc>
      </w:tr>
      <w:tr w14:paraId="112CE508" w14:textId="77777777">
        <w:trPr>
          <w:cantSplit/>
        </w:trPr>
        <w:tc>
          <w:tcPr>
            <w:tcW w:w="1944" w:type="dxa"/>
            <w:tcMar>
              <w:top w:w="60" w:type="dxa"/>
              <w:left w:w="80" w:type="dxa"/>
              <w:bottom w:w="60" w:type="dxa"/>
              <w:right w:w="80" w:type="dxa"/>
            </w:tcMar>
            <w:vAlign w:val="center"/>
          </w:tcPr>
          <w:p w14:paraId="5E6942F2" w14:textId="77777777">
            <w:pPr>
              <w:spacing w:after="0" w:line="240" w:lineRule="auto"/>
            </w:pPr>
            <w:r>
              <w:rPr>
                <w:sz w:val="15"/>
              </w:rPr>
              <w:t>TEM1-BLIP, BLIP side</w:t>
            </w:r>
          </w:p>
        </w:tc>
        <w:tc>
          <w:tcPr>
            <w:tcW w:w="3096" w:type="dxa"/>
            <w:tcMar>
              <w:top w:w="60" w:type="dxa"/>
              <w:left w:w="80" w:type="dxa"/>
              <w:bottom w:w="60" w:type="dxa"/>
              <w:right w:w="80" w:type="dxa"/>
            </w:tcMar>
            <w:vAlign w:val="center"/>
          </w:tcPr>
          <w:p w14:paraId="073A31E8" w14:textId="77777777">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w14:paraId="5E994BA6" w14:textId="77777777">
            <w:pPr>
              <w:spacing w:after="0" w:line="240" w:lineRule="auto"/>
            </w:pPr>
            <w:r>
              <w:rPr>
                <w:sz w:val="15"/>
              </w:rPr>
              <w:t>24</w:t>
            </w:r>
          </w:p>
        </w:tc>
        <w:tc>
          <w:tcPr>
            <w:tcW w:w="1440" w:type="dxa"/>
            <w:tcMar>
              <w:top w:w="60" w:type="dxa"/>
              <w:left w:w="80" w:type="dxa"/>
              <w:bottom w:w="60" w:type="dxa"/>
              <w:right w:w="80" w:type="dxa"/>
            </w:tcMar>
            <w:vAlign w:val="center"/>
          </w:tcPr>
          <w:p w14:paraId="39F80C40" w14:textId="77777777">
            <w:pPr>
              <w:spacing w:after="0" w:line="240" w:lineRule="auto"/>
            </w:pPr>
            <w:r>
              <w:rPr>
                <w:sz w:val="15"/>
              </w:rPr>
              <w:t>0.51 (p = 0.010)</w:t>
            </w:r>
          </w:p>
        </w:tc>
        <w:tc>
          <w:tcPr>
            <w:tcW w:w="1440" w:type="dxa"/>
            <w:tcMar>
              <w:top w:w="60" w:type="dxa"/>
              <w:left w:w="80" w:type="dxa"/>
              <w:bottom w:w="60" w:type="dxa"/>
              <w:right w:w="80" w:type="dxa"/>
            </w:tcMar>
            <w:vAlign w:val="center"/>
          </w:tcPr>
          <w:p w14:paraId="7BFAD122" w14:textId="77777777">
            <w:pPr>
              <w:spacing w:after="0" w:line="240" w:lineRule="auto"/>
            </w:pPr>
            <w:r>
              <w:rPr>
                <w:sz w:val="15"/>
              </w:rPr>
              <w:t>0.50 (p = 0.012)</w:t>
            </w:r>
          </w:p>
        </w:tc>
        <w:tc>
          <w:tcPr>
            <w:tcW w:w="1584" w:type="dxa"/>
            <w:tcMar>
              <w:top w:w="60" w:type="dxa"/>
              <w:left w:w="80" w:type="dxa"/>
              <w:bottom w:w="60" w:type="dxa"/>
              <w:right w:w="80" w:type="dxa"/>
            </w:tcMar>
            <w:vAlign w:val="center"/>
          </w:tcPr>
          <w:p w14:paraId="6035F60B" w14:textId="77777777">
            <w:pPr>
              <w:spacing w:after="0" w:line="240" w:lineRule="auto"/>
            </w:pPr>
            <w:r>
              <w:rPr>
                <w:sz w:val="15"/>
              </w:rPr>
              <w:t>16/18 (89%)</w:t>
            </w:r>
          </w:p>
        </w:tc>
      </w:tr>
      <w:tr w14:paraId="69C4C11A" w14:textId="77777777">
        <w:trPr>
          <w:cantSplit/>
        </w:trPr>
        <w:tc>
          <w:tcPr>
            <w:tcW w:w="1944" w:type="dxa"/>
            <w:shd w:val="clear" w:color="auto" w:fill="EEF2F6"/>
            <w:tcMar>
              <w:top w:w="60" w:type="dxa"/>
              <w:left w:w="80" w:type="dxa"/>
              <w:bottom w:w="60" w:type="dxa"/>
              <w:right w:w="80" w:type="dxa"/>
            </w:tcMar>
            <w:vAlign w:val="center"/>
          </w:tcPr>
          <w:p w14:paraId="025B2001" w14:textId="77777777">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w14:paraId="7CE76D66" w14:textId="77777777">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w14:paraId="555CD43F" w14:textId="77777777">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w14:paraId="65475EE9" w14:textId="77777777">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w14:paraId="7E10EB4E" w14:textId="77777777">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w14:paraId="6A20074B" w14:textId="77777777">
            <w:pPr>
              <w:spacing w:after="0" w:line="240" w:lineRule="auto"/>
            </w:pPr>
            <w:r>
              <w:rPr>
                <w:sz w:val="15"/>
              </w:rPr>
              <w:t>30/33 (91%)</w:t>
            </w:r>
          </w:p>
        </w:tc>
      </w:tr>
    </w:tbl>
    <w:p w14:paraId="3C310220" w14:textId="77777777">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w14:paraId="3F2B4CE2" w14:textId="77777777">
      <w:pPr>
        <w:jc w:val="center"/>
      </w:pPr>
      <w:r>
        <w:rPr>
          <w:noProof/>
        </w:rPr>
        <w:drawing>
          <wp:inline distT="0" distB="0" distL="0" distR="0" wp14:anchorId="2C1A24A2" wp14: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89320" cy="2686876"/>
                    </a:xfrm>
                    <a:prstGeom prst="rect">
                      <a:avLst/>
                    </a:prstGeom>
                  </pic:spPr>
                </pic:pic>
              </a:graphicData>
            </a:graphic>
          </wp:inline>
        </w:drawing>
      </w:r>
    </w:p>
    <w:p w14:paraId="7B3149F9" w14:textId="77777777">
      <w:pPr>
        <w:pStyle w:val="Caption"/>
        <w:keepNext/>
        <w:keepLines/>
        <w:spacing w:before="60" w:after="160"/>
      </w:pPr>
      <w:r>
        <w:t>S2 Fig.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w:pPr>
        <w:keepNext/>
        <w:pageBreakBefore/>
        <w:jc w:val="center"/>
      </w:pPr>
      <w:r>
        <w:drawing>
          <wp:inline xmlns:a="http://schemas.openxmlformats.org/drawingml/2006/main" xmlns:pic="http://schemas.openxmlformats.org/drawingml/2006/picture">
            <wp:extent cx="5989320" cy="2899400"/>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pic:pic>
                  <pic:nvPicPr>
                    <pic:cNvPr id="0" name="figureS3_tier_comparators.png"/>
                    <pic:cNvPicPr/>
                  </pic:nvPicPr>
                  <pic:blipFill>
                    <a:blip r:embed="rId26"/>
                    <a:stretch>
                      <a:fillRect/>
                    </a:stretch>
                  </pic:blipFill>
                  <pic:spPr>
                    <a:xfrm>
                      <a:off x="0" y="0"/>
                      <a:ext cx="5989320" cy="2899400"/>
                    </a:xfrm>
                    <a:prstGeom prst="rect"/>
                  </pic:spPr>
                </pic:pic>
              </a:graphicData>
            </a:graphic>
          </wp:inline>
        </w:drawing>
      </w:r>
    </w:p>
    <w:p>
      <w:pPr>
        <w:pStyle w:val="Caption"/>
        <w:keepLines/>
        <w:spacing w:before="60" w:after="160"/>
      </w:pPr>
      <w:r>
        <w:t>S3 Fig.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S4 Table.</w:t>
      </w:r>
    </w:p>
    <w:p>
      <w:pPr>
        <w:keepNext/>
        <w:pageBreakBefore w:val="0"/>
        <w:jc w:val="center"/>
      </w:pPr>
      <w:r>
        <w:drawing>
          <wp:inline xmlns:a="http://schemas.openxmlformats.org/drawingml/2006/main" xmlns:pic="http://schemas.openxmlformats.org/drawingml/2006/picture">
            <wp:extent cx="5989320" cy="2516428"/>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pic:pic>
                  <pic:nvPicPr>
                    <pic:cNvPr id="0" name="figureS4_priority_components.png"/>
                    <pic:cNvPicPr/>
                  </pic:nvPicPr>
                  <pic:blipFill>
                    <a:blip r:embed="rId27"/>
                    <a:stretch>
                      <a:fillRect/>
                    </a:stretch>
                  </pic:blipFill>
                  <pic:spPr>
                    <a:xfrm>
                      <a:off x="0" y="0"/>
                      <a:ext cx="5989320" cy="2516428"/>
                    </a:xfrm>
                    <a:prstGeom prst="rect"/>
                  </pic:spPr>
                </pic:pic>
              </a:graphicData>
            </a:graphic>
          </wp:inline>
        </w:drawing>
      </w:r>
    </w:p>
    <w:p>
      <w:pPr>
        <w:pStyle w:val="Caption"/>
        <w:keepLines/>
        <w:spacing w:before="60" w:after="160"/>
      </w:pPr>
      <w:r>
        <w:t>S4 Fig.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headerReference w:type="default" r:id="rId21"/>
      <w:footerReference w:type="default" r:id="rId22"/>
      <w:pgSz w:w="12240" w:h="15840"/>
      <w:pgMar w:top="1037" w:right="1123" w:bottom="1037" w:left="1123" w:header="403" w:footer="461"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93544D" w16cex:dateUtc="2026-08-25T13:21:00Z"/>
  <w16cex:commentExtensible w16cex:durableId="6B40332B" w16cex:dateUtc="2026-08-25T13:20:00Z"/>
  <w16cex:commentExtensible w16cex:durableId="1271736A" w16cex:dateUtc="2026-08-25T13:23:00Z"/>
  <w16cex:commentExtensible w16cex:durableId="54CB9835" w16cex:dateUtc="2026-08-25T13:28:00Z"/>
  <w16cex:commentExtensible w16cex:durableId="791D1FEF" w16cex:dateUtc="2026-08-25T13:31:00Z"/>
  <w16cex:commentExtensible w16cex:durableId="38C70AE0" w16cex:dateUtc="2026-08-25T13:32:00Z"/>
  <w16cex:commentExtensible w16cex:durableId="2885ECC7" w16cex:dateUtc="2026-08-25T13:35:00Z"/>
  <w16cex:commentExtensible w16cex:durableId="5711F928" w16cex:dateUtc="2026-08-25T13:36:00Z"/>
  <w16cex:commentExtensible w16cex:durableId="60433CEF" w16cex:dateUtc="2026-08-25T13:36:00Z"/>
  <w16cex:commentExtensible w16cex:durableId="2461932F" w16cex:dateUtc="2026-08-25T13:38:00Z"/>
  <w16cex:commentExtensible w16cex:durableId="2A155503" w16cex:dateUtc="2026-08-25T13:39:00Z"/>
  <w16cex:commentExtensible w16cex:durableId="09B75A7B" w16cex:dateUtc="2026-08-25T13:40:00Z"/>
  <w16cex:commentExtensible w16cex:durableId="1D51AA36" w16cex:dateUtc="2026-08-25T13:34:00Z"/>
  <w16cex:commentExtensible w16cex:durableId="4064A374" w16cex:dateUtc="2026-08-25T13:57:00Z"/>
  <w16cex:commentExtensible w16cex:durableId="5F08C64D" w16cex:dateUtc="2026-08-25T13:57:00Z"/>
  <w16cex:commentExtensible w16cex:durableId="4AB6B966" w16cex:dateUtc="2026-08-25T14:01:00Z"/>
  <w16cex:commentExtensible w16cex:durableId="16D1FC30" w16cex:dateUtc="2026-08-25T14:08:00Z"/>
  <w16cex:commentExtensible w16cex:durableId="1F61F92C" w16cex:dateUtc="2026-08-25T14:13:00Z"/>
  <w16cex:commentExtensible w16cex:durableId="2BDFAB94" w16cex:dateUtc="2026-08-25T14:15:00Z"/>
  <w16cex:commentExtensible w16cex:durableId="5B640B8E" w16cex:dateUtc="2026-08-25T14:17:00Z"/>
  <w16cex:commentExtensible w16cex:durableId="747F8940" w16cex:dateUtc="2026-08-25T14:23:00Z"/>
  <w16cex:commentExtensible w16cex:durableId="3DF605FF" w16cex:dateUtc="2026-08-25T14:24:00Z"/>
  <w16cex:commentExtensible w16cex:durableId="15C3BD10" w16cex:dateUtc="2026-08-25T14:28:00Z"/>
  <w16cex:commentExtensible w16cex:durableId="11B7292C" w16cex:dateUtc="2026-08-25T14:29:00Z"/>
  <w16cex:commentExtensible w16cex:durableId="320AB6AA" w16cex:dateUtc="2026-08-25T14:31:00Z"/>
  <w16cex:commentExtensible w16cex:durableId="3F81C36F" w16cex:dateUtc="2026-08-25T14:34:00Z"/>
  <w16cex:commentExtensible w16cex:durableId="599CBEFC" w16cex:dateUtc="2026-08-25T14:35:00Z"/>
  <w16cex:commentExtensible w16cex:durableId="28A2BBA8" w16cex:dateUtc="2026-08-25T14:36:00Z"/>
  <w16cex:commentExtensible w16cex:durableId="174E9934" w16cex:dateUtc="2026-08-25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36B7B" w16cid:durableId="2293544D"/>
  <w16cid:commentId w16cid:paraId="716DB181" w16cid:durableId="6B40332B"/>
  <w16cid:commentId w16cid:paraId="393D4517" w16cid:durableId="1271736A"/>
  <w16cid:commentId w16cid:paraId="153E77F4" w16cid:durableId="54CB9835"/>
  <w16cid:commentId w16cid:paraId="7C5BE6A4" w16cid:durableId="791D1FEF"/>
  <w16cid:commentId w16cid:paraId="37FADDB9" w16cid:durableId="38C70AE0"/>
  <w16cid:commentId w16cid:paraId="03177F8C" w16cid:durableId="2885ECC7"/>
  <w16cid:commentId w16cid:paraId="230C4F56" w16cid:durableId="5711F928"/>
  <w16cid:commentId w16cid:paraId="63D5D8EB" w16cid:durableId="60433CEF"/>
  <w16cid:commentId w16cid:paraId="0C60C24D" w16cid:durableId="2461932F"/>
  <w16cid:commentId w16cid:paraId="67AB5EDD" w16cid:durableId="2A155503"/>
  <w16cid:commentId w16cid:paraId="2D8F4D52" w16cid:durableId="09B75A7B"/>
  <w16cid:commentId w16cid:paraId="1036A803" w16cid:durableId="1D51AA36"/>
  <w16cid:commentId w16cid:paraId="0AF972D3" w16cid:durableId="4064A374"/>
  <w16cid:commentId w16cid:paraId="163BF1F9" w16cid:durableId="5F08C64D"/>
  <w16cid:commentId w16cid:paraId="660B9B4F" w16cid:durableId="4AB6B966"/>
  <w16cid:commentId w16cid:paraId="7B0A455C" w16cid:durableId="16D1FC30"/>
  <w16cid:commentId w16cid:paraId="3AB20220" w16cid:durableId="1F61F92C"/>
  <w16cid:commentId w16cid:paraId="27B1B0FD" w16cid:durableId="2BDFAB94"/>
  <w16cid:commentId w16cid:paraId="189CE6A0" w16cid:durableId="5B640B8E"/>
  <w16cid:commentId w16cid:paraId="651F61D9" w16cid:durableId="747F8940"/>
  <w16cid:commentId w16cid:paraId="5578E35F" w16cid:durableId="3DF605FF"/>
  <w16cid:commentId w16cid:paraId="3185C19C" w16cid:durableId="15C3BD10"/>
  <w16cid:commentId w16cid:paraId="46EB969D" w16cid:durableId="11B7292C"/>
  <w16cid:commentId w16cid:paraId="41FDED4B" w16cid:durableId="320AB6AA"/>
  <w16cid:commentId w16cid:paraId="7A56EFCB" w16cid:durableId="3F81C36F"/>
  <w16cid:commentId w16cid:paraId="17094433" w16cid:durableId="599CBEFC"/>
  <w16cid:commentId w16cid:paraId="0EC76BB7" w16cid:durableId="28A2BBA8"/>
  <w16cid:commentId w16cid:paraId="39B11322" w16cid:durableId="174E99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5183E" w14:textId="77777777">
      <w:pPr>
        <w:spacing w:after="0" w:line="240" w:lineRule="auto"/>
      </w:pPr>
      <w:r>
        <w:separator/>
      </w:r>
    </w:p>
  </w:endnote>
  <w:endnote w:type="continuationSeparator" w:id="0">
    <w:p w14:paraId="7B16E24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84D" w14:textId="77777777">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C579" w14:textId="77777777">
      <w:pPr>
        <w:spacing w:after="0" w:line="240" w:lineRule="auto"/>
      </w:pPr>
      <w:r>
        <w:separator/>
      </w:r>
    </w:p>
  </w:footnote>
  <w:footnote w:type="continuationSeparator" w:id="0">
    <w:p w14:paraId="1C5336A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E67" w14:textId="77777777">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67"/>
    <w:rsid w:val="00034616"/>
    <w:rsid w:val="0006063C"/>
    <w:rsid w:val="000D7028"/>
    <w:rsid w:val="001165AD"/>
    <w:rsid w:val="0015074B"/>
    <w:rsid w:val="001970E9"/>
    <w:rsid w:val="002836FB"/>
    <w:rsid w:val="0029639D"/>
    <w:rsid w:val="00303EE5"/>
    <w:rsid w:val="00326F90"/>
    <w:rsid w:val="00402BC0"/>
    <w:rsid w:val="004D3D9A"/>
    <w:rsid w:val="00590A36"/>
    <w:rsid w:val="00621588"/>
    <w:rsid w:val="00635CA1"/>
    <w:rsid w:val="006731C5"/>
    <w:rsid w:val="00722DDA"/>
    <w:rsid w:val="007269F4"/>
    <w:rsid w:val="007A6554"/>
    <w:rsid w:val="008076D2"/>
    <w:rsid w:val="00AA1D8D"/>
    <w:rsid w:val="00B03606"/>
    <w:rsid w:val="00B47730"/>
    <w:rsid w:val="00C52E14"/>
    <w:rsid w:val="00CB0664"/>
    <w:rsid w:val="00DD6278"/>
    <w:rsid w:val="00FB1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94DC7"/>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1.xml"/><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23</Pages>
  <Words>11477</Words>
  <Characters>65422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76746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
  <cp:revision>4</cp:revision>
  <dcterms:created xsi:type="dcterms:W3CDTF">2013-12-23T23:15:00Z</dcterms:created>
  <dcterms:modified xsi:type="dcterms:W3CDTF">2026-08-25T14:38:00Z</dcterms:modified>
  <cp:category/>
</cp:coreProperties>
</file>