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COMAVI — Benchmark &amp; CHD Results Summary</w:t>
      </w:r>
    </w:p>
    <w:p>
      <w:r>
        <w:rPr>
          <w:b w:val="0"/>
          <w:i/>
        </w:rPr>
        <w:t>Generated %s. Sources: benchmark = comavi_v7_concordance_annotated.csv (current, role-corrected); CHD = COMAVI_CHD_concordance_collapsed.xlsx (current); AlphaMissense(benchmark) = AM_variants_comavi_mechanism_test.xlsx. The CHD concordance is reported under three Franklin pathogenic-hit thresholds (without VUS / VUS-high-only / VUS-high-and-mid). KPNA6 AlphaMissense parsing bug flagged. Full per-variant tables in the companion workbook.</w:t>
      </w:r>
    </w:p>
    <w:p>
      <w:pPr>
        <w:pStyle w:val="Heading1"/>
      </w:pPr>
      <w:r>
        <w:t>Bottom line: is COMAVI a predictive improvement on AlphaMissense?</w:t>
      </w:r>
    </w:p>
    <w:p>
      <w:r>
        <w:rPr>
          <w:b w:val="0"/>
          <w:i w:val="0"/>
        </w:rPr>
        <w:t>Not as a standalone pathogenicity classifier. On the 44-variant benchmark, AlphaMissense is correct on 90% of its confident calls (37/41), which COMAVI does not beat. COMAVI contributes an orthogonal, partially-independent structural-mechanism channel (COMAVI vs AM rank correlation rho=0.47 benchmark / 0.52 CHD): it resolves disruption mechanism and multimer context a single AM score cannot, and is correctly silent where the mechanism is non-structural. The defensible claim is COMAVI+AM &gt; AM alone.</w:t>
      </w:r>
    </w:p>
    <w:p>
      <w:pPr>
        <w:pStyle w:val="Heading1"/>
      </w:pPr>
      <w:r>
        <w:t>Benchmark pipeline (44 variants, 11 PPI systems)</w:t>
      </w:r>
    </w:p>
    <w:p>
      <w:r>
        <w:rPr>
          <w:b w:val="0"/>
          <w:i w:val="0"/>
        </w:rPr>
        <w:t>Ledger-corrected truth: 26 pathogenic, 6 gain-of-function, 2 loss-of-function, 10 benign.</w:t>
      </w:r>
    </w:p>
    <w:p>
      <w:r>
        <w:rPr>
          <w:b/>
          <w:i w:val="0"/>
        </w:rPr>
        <w:t>1. COMAVI structural-evidence strength is a cleanly calibrated, monotonic pathogenicity gradient: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comavi_structural_evidence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n_pathogenic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n_total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pct_pathogenic</w:t>
            </w:r>
          </w:p>
        </w:tc>
      </w:tr>
      <w:tr>
        <w:tc>
          <w:tcPr>
            <w:tcW w:type="dxa" w:w="2160"/>
          </w:tcPr>
          <w:p>
            <w:r>
              <w:t>T1: strong structural evidence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T2: moderate structural evidence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81.0</w:t>
            </w:r>
          </w:p>
        </w:tc>
      </w:tr>
      <w:tr>
        <w:tc>
          <w:tcPr>
            <w:tcW w:type="dxa" w:w="2160"/>
          </w:tcPr>
          <w:p>
            <w:r>
              <w:t>T3: uncertain structural evidence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T4: minimal structural evidence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</w:tr>
    </w:tbl>
    <w:p/>
    <w:p>
      <w:r>
        <w:rPr>
          <w:b w:val="0"/>
          <w:i w:val="0"/>
        </w:rPr>
        <w:t>Tier 1 is perfectly specific (12/12 pathogenic) — exactly where AlphaMissense places its two false positives (MLH1 V384D, K618E).</w:t>
      </w:r>
    </w:p>
    <w:p>
      <w:r>
        <w:rPr>
          <w:b/>
          <w:i w:val="0"/>
        </w:rPr>
        <w:t>2. AlphaMissense accuracy on the benchmark: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correct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false_positive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false_negative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ambiguous_nocall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accuracy_on_confident_calls</w:t>
            </w:r>
          </w:p>
        </w:tc>
        <w:tc>
          <w:tcPr>
            <w:tcW w:type="dxa" w:w="4320"/>
          </w:tcPr>
          <w:p>
            <w:r>
              <w:t>90.2% (37/41)</w:t>
            </w:r>
          </w:p>
        </w:tc>
      </w:tr>
      <w:tr>
        <w:tc>
          <w:tcPr>
            <w:tcW w:type="dxa" w:w="4320"/>
          </w:tcPr>
          <w:p>
            <w:r>
              <w:t>accuracy_incl_ambiguous_as_miss</w:t>
            </w:r>
          </w:p>
        </w:tc>
        <w:tc>
          <w:tcPr>
            <w:tcW w:type="dxa" w:w="4320"/>
          </w:tcPr>
          <w:p>
            <w:r>
              <w:t>84.1% (37/44)</w:t>
            </w:r>
          </w:p>
        </w:tc>
      </w:tr>
    </w:tbl>
    <w:p/>
    <w:p>
      <w:r>
        <w:rPr>
          <w:b w:val="0"/>
          <w:i w:val="0"/>
        </w:rPr>
        <w:t>3. Divergence: COMAVI resolves two AM-ambiguous variants (TNNI3 R162W, PIK3CA H1047R) via a clear interface/fold call, but does NOT rescue AM’s two false negatives (HBB E6V sickle cell, AM 0.22; CALM1 N98S, AM 0.21) — both non-structural mechanisms where COMAVI correctly reports “no structural effect detected.”</w:t>
      </w:r>
    </w:p>
    <w:p>
      <w:r>
        <w:rPr>
          <w:b w:val="0"/>
          <w:i w:val="0"/>
        </w:rPr>
        <w:t>4. Structural silence is not benign and the negative call is weak: of 9 “no structural effect” variants, 5 are pathogenic (all GoF/non-structural). Tier 4 is still 33% pathogenic — a positive structural call is informative; a negative one is near-uninformative.</w:t>
      </w:r>
    </w:p>
    <w:p>
      <w:r>
        <w:rPr>
          <w:b w:val="0"/>
          <w:i w:val="0"/>
        </w:rPr>
        <w:t>5. Orthogonal axis AM lacks: 21/44 variants get an interface/PPI-resolved mechanism a single score cannot express.</w:t>
      </w:r>
    </w:p>
    <w:p>
      <w:pPr>
        <w:pStyle w:val="Heading1"/>
      </w:pPr>
      <w:r>
        <w:t>CHD pipeline (144 variants)</w:t>
      </w:r>
    </w:p>
    <w:p>
      <w:r>
        <w:rPr>
          <w:b w:val="0"/>
          <w:i w:val="0"/>
        </w:rPr>
        <w:t>Composition: 133 patient/discovery variants + 11 ZIC3 known-pathogenic controls. Coverage: 99/144 (69%) are pLDDT-gated to a 2-axis denominator (structural axes uncomputable). COMAVI only speaks where AlphaFold is confident; AM scores everything.</w:t>
      </w:r>
    </w:p>
    <w:p>
      <w:r>
        <w:rPr>
          <w:b/>
          <w:i w:val="0"/>
        </w:rPr>
        <w:t>Reported under three Franklin thresholds (you asked for both with and without VUS):</w:t>
      </w:r>
    </w:p>
    <w:p>
      <w:r>
        <w:rPr>
          <w:b w:val="0"/>
          <w:i w:val="0"/>
        </w:rPr>
        <w:t>Because nearly every CHD variant is a VUS in clinical databases, the Franklin pathogenic-hit definition strongly drives the concordance. The control franklin recall shows the sensitivity directly: without VUS = 1/11; VUS-high-only (the original pipeline logic) = 8/11; VUS-high-and-mid = 10/11. The first is conservative (Franklin contributes almost nothing); the third is permissive but counts uncertain clinical calls as supporting evidence. Both are valid framings; the truth for any given variant sits between them.</w:t>
      </w:r>
    </w:p>
    <w:p>
      <w:r>
        <w:rPr>
          <w:b/>
          <w:i w:val="0"/>
        </w:rPr>
        <w:t>Control recall by tool, across the three thresholds (only Franklin moves):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recall_without_VUS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recall_VUS_high_only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recall_VUS_high_and_mid</w:t>
            </w:r>
          </w:p>
        </w:tc>
      </w:tr>
      <w:tr>
        <w:tc>
          <w:tcPr>
            <w:tcW w:type="dxa" w:w="2160"/>
          </w:tcPr>
          <w:p>
            <w:r>
              <w:t>structure_hit</w:t>
            </w:r>
          </w:p>
        </w:tc>
        <w:tc>
          <w:tcPr>
            <w:tcW w:type="dxa" w:w="2160"/>
          </w:tcPr>
          <w:p>
            <w:r>
              <w:t>8/11</w:t>
            </w:r>
          </w:p>
        </w:tc>
        <w:tc>
          <w:tcPr>
            <w:tcW w:type="dxa" w:w="2160"/>
          </w:tcPr>
          <w:p>
            <w:r>
              <w:t>8/11</w:t>
            </w:r>
          </w:p>
        </w:tc>
        <w:tc>
          <w:tcPr>
            <w:tcW w:type="dxa" w:w="2160"/>
          </w:tcPr>
          <w:p>
            <w:r>
              <w:t>8/11</w:t>
            </w:r>
          </w:p>
        </w:tc>
      </w:tr>
      <w:tr>
        <w:tc>
          <w:tcPr>
            <w:tcW w:type="dxa" w:w="2160"/>
          </w:tcPr>
          <w:p>
            <w:r>
              <w:t>ddg_hit</w:t>
            </w:r>
          </w:p>
        </w:tc>
        <w:tc>
          <w:tcPr>
            <w:tcW w:type="dxa" w:w="2160"/>
          </w:tcPr>
          <w:p>
            <w:r>
              <w:t>7/11</w:t>
            </w:r>
          </w:p>
        </w:tc>
        <w:tc>
          <w:tcPr>
            <w:tcW w:type="dxa" w:w="2160"/>
          </w:tcPr>
          <w:p>
            <w:r>
              <w:t>7/11</w:t>
            </w:r>
          </w:p>
        </w:tc>
        <w:tc>
          <w:tcPr>
            <w:tcW w:type="dxa" w:w="2160"/>
          </w:tcPr>
          <w:p>
            <w:r>
              <w:t>7/11</w:t>
            </w:r>
          </w:p>
        </w:tc>
      </w:tr>
      <w:tr>
        <w:tc>
          <w:tcPr>
            <w:tcW w:type="dxa" w:w="2160"/>
          </w:tcPr>
          <w:p>
            <w:r>
              <w:t>am_hit</w:t>
            </w:r>
          </w:p>
        </w:tc>
        <w:tc>
          <w:tcPr>
            <w:tcW w:type="dxa" w:w="2160"/>
          </w:tcPr>
          <w:p>
            <w:r>
              <w:t>9/11</w:t>
            </w:r>
          </w:p>
        </w:tc>
        <w:tc>
          <w:tcPr>
            <w:tcW w:type="dxa" w:w="2160"/>
          </w:tcPr>
          <w:p>
            <w:r>
              <w:t>9/11</w:t>
            </w:r>
          </w:p>
        </w:tc>
        <w:tc>
          <w:tcPr>
            <w:tcW w:type="dxa" w:w="2160"/>
          </w:tcPr>
          <w:p>
            <w:r>
              <w:t>9/11</w:t>
            </w:r>
          </w:p>
        </w:tc>
      </w:tr>
      <w:tr>
        <w:tc>
          <w:tcPr>
            <w:tcW w:type="dxa" w:w="2160"/>
          </w:tcPr>
          <w:p>
            <w:r>
              <w:t>franklin_hit</w:t>
            </w:r>
          </w:p>
        </w:tc>
        <w:tc>
          <w:tcPr>
            <w:tcW w:type="dxa" w:w="2160"/>
          </w:tcPr>
          <w:p>
            <w:r>
              <w:t>1/11</w:t>
            </w:r>
          </w:p>
        </w:tc>
        <w:tc>
          <w:tcPr>
            <w:tcW w:type="dxa" w:w="2160"/>
          </w:tcPr>
          <w:p>
            <w:r>
              <w:t>8/11</w:t>
            </w:r>
          </w:p>
        </w:tc>
        <w:tc>
          <w:tcPr>
            <w:tcW w:type="dxa" w:w="2160"/>
          </w:tcPr>
          <w:p>
            <w:r>
              <w:t>10/11</w:t>
            </w:r>
          </w:p>
        </w:tc>
      </w:tr>
    </w:tbl>
    <w:p/>
    <w:p>
      <w:r>
        <w:rPr>
          <w:b w:val="0"/>
          <w:i w:val="0"/>
        </w:rPr>
        <w:t>Among the 9 structurally-evaluable controls, COMAVI recovers 8 via structure_hit; AM recovers all of them.</w:t>
      </w:r>
    </w:p>
    <w:p>
      <w:r>
        <w:rPr>
          <w:b/>
          <w:i w:val="0"/>
        </w:rPr>
        <w:t>Patient-cohort concordance distribution, across thresholds: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without_VUS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VUS_high_only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VUS_high_and_mid</w:t>
            </w:r>
          </w:p>
        </w:tc>
      </w:tr>
      <w:tr>
        <w:tc>
          <w:tcPr>
            <w:tcW w:type="dxa" w:w="2160"/>
          </w:tcPr>
          <w:p>
            <w:r>
              <w:t>0/2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0/4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1/2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1/4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2/2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2/4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3/4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4/4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r>
        <w:rPr>
          <w:b w:val="0"/>
          <w:i w:val="0"/>
        </w:rPr>
        <w:t>Patient variants reaching at least 3 concordant axes: 3 under the strict (no-VUS) threshold, 7 under the lenient (VUS high+mid) threshold.</w:t>
      </w:r>
    </w:p>
    <w:p>
      <w:r>
        <w:rPr>
          <w:b/>
          <w:i w:val="0"/>
        </w:rPr>
        <w:t>Top candidates — concordance shown under all three Franklin thresholds (strict / VUS-high-only / VUS-high-and-mid):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54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540"/>
          </w:tcPr>
          <w:p>
            <w:r>
              <w:rPr>
                <w:b/>
              </w:rPr>
              <w:t>structure_hit</w:t>
            </w:r>
          </w:p>
        </w:tc>
        <w:tc>
          <w:tcPr>
            <w:tcW w:type="dxa" w:w="540"/>
          </w:tcPr>
          <w:p>
            <w:r>
              <w:rPr>
                <w:b/>
              </w:rPr>
              <w:t>ddg_hit</w:t>
            </w:r>
          </w:p>
        </w:tc>
        <w:tc>
          <w:tcPr>
            <w:tcW w:type="dxa" w:w="540"/>
          </w:tcPr>
          <w:p>
            <w:r>
              <w:rPr>
                <w:b/>
              </w:rPr>
              <w:t>am_hit</w:t>
            </w:r>
          </w:p>
        </w:tc>
        <w:tc>
          <w:tcPr>
            <w:tcW w:type="dxa" w:w="540"/>
          </w:tcPr>
          <w:p>
            <w:r>
              <w:rPr>
                <w:b/>
              </w:rPr>
              <w:t>franklin_hit_strict</w:t>
            </w:r>
          </w:p>
        </w:tc>
        <w:tc>
          <w:tcPr>
            <w:tcW w:type="dxa" w:w="540"/>
          </w:tcPr>
          <w:p>
            <w:r>
              <w:rPr>
                <w:b/>
              </w:rPr>
              <w:t>franklin_hit_highonly</w:t>
            </w:r>
          </w:p>
        </w:tc>
        <w:tc>
          <w:tcPr>
            <w:tcW w:type="dxa" w:w="540"/>
          </w:tcPr>
          <w:p>
            <w:r>
              <w:rPr>
                <w:b/>
              </w:rPr>
              <w:t>franklin_hit_lenient</w:t>
            </w:r>
          </w:p>
        </w:tc>
        <w:tc>
          <w:tcPr>
            <w:tcW w:type="dxa" w:w="540"/>
          </w:tcPr>
          <w:p>
            <w:r>
              <w:rPr>
                <w:b/>
              </w:rPr>
              <w:t>concordance_strict</w:t>
            </w:r>
          </w:p>
        </w:tc>
        <w:tc>
          <w:tcPr>
            <w:tcW w:type="dxa" w:w="540"/>
          </w:tcPr>
          <w:p>
            <w:r>
              <w:rPr>
                <w:b/>
              </w:rPr>
              <w:t>concordance_highonly</w:t>
            </w:r>
          </w:p>
        </w:tc>
        <w:tc>
          <w:tcPr>
            <w:tcW w:type="dxa" w:w="540"/>
          </w:tcPr>
          <w:p>
            <w:r>
              <w:rPr>
                <w:b/>
              </w:rPr>
              <w:t>concordance_lenient</w:t>
            </w:r>
          </w:p>
        </w:tc>
        <w:tc>
          <w:tcPr>
            <w:tcW w:type="dxa" w:w="540"/>
          </w:tcPr>
          <w:p>
            <w:r>
              <w:rPr>
                <w:b/>
              </w:rPr>
              <w:t>min_tier</w:t>
            </w:r>
          </w:p>
        </w:tc>
        <w:tc>
          <w:tcPr>
            <w:tcW w:type="dxa" w:w="540"/>
          </w:tcPr>
          <w:p>
            <w:r>
              <w:rPr>
                <w:b/>
              </w:rPr>
              <w:t>comavi_score</w:t>
            </w:r>
          </w:p>
        </w:tc>
        <w:tc>
          <w:tcPr>
            <w:tcW w:type="dxa" w:w="540"/>
          </w:tcPr>
          <w:p>
            <w:r>
              <w:rPr>
                <w:b/>
              </w:rPr>
              <w:t>AM_score</w:t>
            </w:r>
          </w:p>
        </w:tc>
        <w:tc>
          <w:tcPr>
            <w:tcW w:type="dxa" w:w="540"/>
          </w:tcPr>
          <w:p>
            <w:r>
              <w:rPr>
                <w:b/>
              </w:rPr>
              <w:t>franklin</w:t>
            </w:r>
          </w:p>
        </w:tc>
        <w:tc>
          <w:tcPr>
            <w:tcW w:type="dxa" w:w="540"/>
          </w:tcPr>
          <w:p>
            <w:r>
              <w:rPr>
                <w:b/>
              </w:rPr>
              <w:t>pLDDT</w:t>
            </w:r>
          </w:p>
        </w:tc>
      </w:tr>
      <w:tr>
        <w:tc>
          <w:tcPr>
            <w:tcW w:type="dxa" w:w="540"/>
          </w:tcPr>
          <w:p>
            <w:r>
              <w:t>SHROOM3 G35V</w:t>
            </w:r>
          </w:p>
        </w:tc>
        <w:tc>
          <w:tcPr>
            <w:tcW w:type="dxa" w:w="540"/>
          </w:tcPr>
          <w:p>
            <w:r>
              <w:t>SHROOM3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4/4</w:t>
            </w:r>
          </w:p>
        </w:tc>
        <w:tc>
          <w:tcPr>
            <w:tcW w:type="dxa" w:w="540"/>
          </w:tcPr>
          <w:p>
            <w:r>
              <w:t>Tier 1</w:t>
            </w:r>
          </w:p>
        </w:tc>
        <w:tc>
          <w:tcPr>
            <w:tcW w:type="dxa" w:w="540"/>
          </w:tcPr>
          <w:p>
            <w:r>
              <w:t>6.5</w:t>
            </w:r>
          </w:p>
        </w:tc>
        <w:tc>
          <w:tcPr>
            <w:tcW w:type="dxa" w:w="540"/>
          </w:tcPr>
          <w:p>
            <w:r>
              <w:t>0.877</w:t>
            </w:r>
          </w:p>
        </w:tc>
        <w:tc>
          <w:tcPr>
            <w:tcW w:type="dxa" w:w="540"/>
          </w:tcPr>
          <w:p>
            <w:r>
              <w:t>VUS (mid)</w:t>
            </w:r>
          </w:p>
        </w:tc>
        <w:tc>
          <w:tcPr>
            <w:tcW w:type="dxa" w:w="540"/>
          </w:tcPr>
          <w:p>
            <w:r>
              <w:t>84.4</w:t>
            </w:r>
          </w:p>
        </w:tc>
      </w:tr>
      <w:tr>
        <w:tc>
          <w:tcPr>
            <w:tcW w:type="dxa" w:w="540"/>
          </w:tcPr>
          <w:p>
            <w:r>
              <w:t>DVL2 D441Y</w:t>
            </w:r>
          </w:p>
        </w:tc>
        <w:tc>
          <w:tcPr>
            <w:tcW w:type="dxa" w:w="540"/>
          </w:tcPr>
          <w:p>
            <w:r>
              <w:t>DVL2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4/4</w:t>
            </w:r>
          </w:p>
        </w:tc>
        <w:tc>
          <w:tcPr>
            <w:tcW w:type="dxa" w:w="540"/>
          </w:tcPr>
          <w:p>
            <w:r>
              <w:t>Tier 1</w:t>
            </w:r>
          </w:p>
        </w:tc>
        <w:tc>
          <w:tcPr>
            <w:tcW w:type="dxa" w:w="540"/>
          </w:tcPr>
          <w:p>
            <w:r>
              <w:t>5.5</w:t>
            </w:r>
          </w:p>
        </w:tc>
        <w:tc>
          <w:tcPr>
            <w:tcW w:type="dxa" w:w="540"/>
          </w:tcPr>
          <w:p>
            <w:r>
              <w:t>0.99</w:t>
            </w:r>
          </w:p>
        </w:tc>
        <w:tc>
          <w:tcPr>
            <w:tcW w:type="dxa" w:w="540"/>
          </w:tcPr>
          <w:p>
            <w:r>
              <w:t>VUS (mid)</w:t>
            </w:r>
          </w:p>
        </w:tc>
        <w:tc>
          <w:tcPr>
            <w:tcW w:type="dxa" w:w="540"/>
          </w:tcPr>
          <w:p>
            <w:r>
              <w:t>96.1</w:t>
            </w:r>
          </w:p>
        </w:tc>
      </w:tr>
      <w:tr>
        <w:tc>
          <w:tcPr>
            <w:tcW w:type="dxa" w:w="540"/>
          </w:tcPr>
          <w:p>
            <w:r>
              <w:t>ROCK2 T367M</w:t>
            </w:r>
          </w:p>
        </w:tc>
        <w:tc>
          <w:tcPr>
            <w:tcW w:type="dxa" w:w="540"/>
          </w:tcPr>
          <w:p>
            <w:r>
              <w:t>ROCK2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1</w:t>
            </w:r>
          </w:p>
        </w:tc>
        <w:tc>
          <w:tcPr>
            <w:tcW w:type="dxa" w:w="540"/>
          </w:tcPr>
          <w:p>
            <w:r>
              <w:t>5.5</w:t>
            </w:r>
          </w:p>
        </w:tc>
        <w:tc>
          <w:tcPr>
            <w:tcW w:type="dxa" w:w="540"/>
          </w:tcPr>
          <w:p>
            <w:r>
              <w:t>0.072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97.0</w:t>
            </w:r>
          </w:p>
        </w:tc>
      </w:tr>
      <w:tr>
        <w:tc>
          <w:tcPr>
            <w:tcW w:type="dxa" w:w="540"/>
          </w:tcPr>
          <w:p>
            <w:r>
              <w:t>CTNNB1 T297M</w:t>
            </w:r>
          </w:p>
        </w:tc>
        <w:tc>
          <w:tcPr>
            <w:tcW w:type="dxa" w:w="540"/>
          </w:tcPr>
          <w:p>
            <w:r>
              <w:t>CTNNB1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1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0.822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98.8</w:t>
            </w:r>
          </w:p>
        </w:tc>
      </w:tr>
      <w:tr>
        <w:tc>
          <w:tcPr>
            <w:tcW w:type="dxa" w:w="540"/>
          </w:tcPr>
          <w:p>
            <w:r>
              <w:t>KPNA6 I498T</w:t>
            </w:r>
          </w:p>
        </w:tc>
        <w:tc>
          <w:tcPr>
            <w:tcW w:type="dxa" w:w="540"/>
          </w:tcPr>
          <w:p>
            <w:r>
              <w:t>KPNA6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4/4</w:t>
            </w:r>
          </w:p>
        </w:tc>
        <w:tc>
          <w:tcPr>
            <w:tcW w:type="dxa" w:w="540"/>
          </w:tcPr>
          <w:p>
            <w:r>
              <w:t>4/4</w:t>
            </w:r>
          </w:p>
        </w:tc>
        <w:tc>
          <w:tcPr>
            <w:tcW w:type="dxa" w:w="540"/>
          </w:tcPr>
          <w:p>
            <w:r>
              <w:t>Tier 2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0.878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95.9</w:t>
            </w:r>
          </w:p>
        </w:tc>
      </w:tr>
      <w:tr>
        <w:tc>
          <w:tcPr>
            <w:tcW w:type="dxa" w:w="540"/>
          </w:tcPr>
          <w:p>
            <w:r>
              <w:t>SHROOM3 G60V</w:t>
            </w:r>
          </w:p>
        </w:tc>
        <w:tc>
          <w:tcPr>
            <w:tcW w:type="dxa" w:w="540"/>
          </w:tcPr>
          <w:p>
            <w:r>
              <w:t>SHROOM3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2</w:t>
            </w:r>
          </w:p>
        </w:tc>
        <w:tc>
          <w:tcPr>
            <w:tcW w:type="dxa" w:w="540"/>
          </w:tcPr>
          <w:p>
            <w:r>
              <w:t>3.5</w:t>
            </w:r>
          </w:p>
        </w:tc>
        <w:tc>
          <w:tcPr>
            <w:tcW w:type="dxa" w:w="540"/>
          </w:tcPr>
          <w:p>
            <w:r>
              <w:t>0.73</w:t>
            </w:r>
          </w:p>
        </w:tc>
        <w:tc>
          <w:tcPr>
            <w:tcW w:type="dxa" w:w="540"/>
          </w:tcPr>
          <w:p>
            <w:r>
              <w:t>benign</w:t>
            </w:r>
          </w:p>
        </w:tc>
        <w:tc>
          <w:tcPr>
            <w:tcW w:type="dxa" w:w="540"/>
          </w:tcPr>
          <w:p>
            <w:r>
              <w:t>87.2</w:t>
            </w:r>
          </w:p>
        </w:tc>
      </w:tr>
      <w:tr>
        <w:tc>
          <w:tcPr>
            <w:tcW w:type="dxa" w:w="540"/>
          </w:tcPr>
          <w:p>
            <w:r>
              <w:t>CTNNB1 R151C</w:t>
            </w:r>
          </w:p>
        </w:tc>
        <w:tc>
          <w:tcPr>
            <w:tcW w:type="dxa" w:w="540"/>
          </w:tcPr>
          <w:p>
            <w:r>
              <w:t>CTNNB1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2</w:t>
            </w:r>
          </w:p>
        </w:tc>
        <w:tc>
          <w:tcPr>
            <w:tcW w:type="dxa" w:w="540"/>
          </w:tcPr>
          <w:p>
            <w:r>
              <w:t>3.0</w:t>
            </w:r>
          </w:p>
        </w:tc>
        <w:tc>
          <w:tcPr>
            <w:tcW w:type="dxa" w:w="540"/>
          </w:tcPr>
          <w:p>
            <w:r>
              <w:t>0.94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83.5</w:t>
            </w:r>
          </w:p>
        </w:tc>
      </w:tr>
      <w:tr>
        <w:tc>
          <w:tcPr>
            <w:tcW w:type="dxa" w:w="540"/>
          </w:tcPr>
          <w:p>
            <w:r>
              <w:t>KPNA6 K424N</w:t>
            </w:r>
          </w:p>
        </w:tc>
        <w:tc>
          <w:tcPr>
            <w:tcW w:type="dxa" w:w="540"/>
          </w:tcPr>
          <w:p>
            <w:r>
              <w:t>KPNA6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2</w:t>
            </w:r>
          </w:p>
        </w:tc>
        <w:tc>
          <w:tcPr>
            <w:tcW w:type="dxa" w:w="540"/>
          </w:tcPr>
          <w:p>
            <w:r>
              <w:t>3.0</w:t>
            </w:r>
          </w:p>
        </w:tc>
        <w:tc>
          <w:tcPr>
            <w:tcW w:type="dxa" w:w="540"/>
          </w:tcPr>
          <w:p>
            <w:r>
              <w:t>0.688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98.2</w:t>
            </w:r>
          </w:p>
        </w:tc>
      </w:tr>
    </w:tbl>
    <w:p/>
    <w:p>
      <w:r>
        <w:rPr>
          <w:b w:val="0"/>
          <w:i w:val="0"/>
        </w:rPr>
        <w:t>DVL2 D441Y and SHROOM3 G35V are 3/4 under strict and reach 4/4 under lenient (their Franklin VUS(mid) becomes a hit). CTNNB1 T297M is 2/4 strict and 3/4 lenient — its top-candidate status depends entirely on whether VUS(high) counts. SHROOM3 G60V holds at 3/4 under both because Franklin classifies it benign, not VUS. These three (plus G60V) are the structure+ddG+AM concordant core regardless of threshold.</w:t>
      </w:r>
    </w:p>
    <w:p>
      <w:r>
        <w:rPr>
          <w:b/>
          <w:i w:val="0"/>
        </w:rPr>
        <w:t>COMAVI-vs-AM disagreement (Franklin-independent — the genuine orthogonal cases):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785"/>
          </w:tcPr>
          <w:p>
            <w:r>
              <w:rPr>
                <w:b/>
              </w:rPr>
              <w:t>gene</w:t>
            </w:r>
          </w:p>
        </w:tc>
        <w:tc>
          <w:tcPr>
            <w:tcW w:type="dxa" w:w="785"/>
          </w:tcPr>
          <w:p>
            <w:r>
              <w:rPr>
                <w:b/>
              </w:rPr>
              <w:t>min_tier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structure_hit</w:t>
            </w:r>
          </w:p>
        </w:tc>
        <w:tc>
          <w:tcPr>
            <w:tcW w:type="dxa" w:w="785"/>
          </w:tcPr>
          <w:p>
            <w:r>
              <w:rPr>
                <w:b/>
              </w:rPr>
              <w:t>ddg_hit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concordance_strict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concordance_lenient</w:t>
            </w:r>
          </w:p>
        </w:tc>
        <w:tc>
          <w:tcPr>
            <w:tcW w:type="dxa" w:w="785"/>
          </w:tcPr>
          <w:p>
            <w:r>
              <w:rPr>
                <w:b/>
              </w:rPr>
              <w:t>AM_score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franklin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comavi_score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pLDDT</w:t>
            </w:r>
          </w:p>
        </w:tc>
      </w:tr>
      <w:tr>
        <w:tc>
          <w:tcPr>
            <w:tcW w:type="dxa" w:w="785"/>
          </w:tcPr>
          <w:p>
            <w:r>
              <w:t>ROCK2 T367M</w:t>
            </w:r>
          </w:p>
        </w:tc>
        <w:tc>
          <w:tcPr>
            <w:tcW w:type="dxa" w:w="785"/>
          </w:tcPr>
          <w:p>
            <w:r>
              <w:t>ROCK2</w:t>
            </w:r>
          </w:p>
        </w:tc>
        <w:tc>
          <w:tcPr>
            <w:tcW w:type="dxa" w:w="785"/>
          </w:tcPr>
          <w:p>
            <w:r>
              <w:t>Tier 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2/4</w:t>
            </w:r>
          </w:p>
        </w:tc>
        <w:tc>
          <w:tcPr>
            <w:tcW w:type="dxa" w:w="785"/>
          </w:tcPr>
          <w:p>
            <w:r>
              <w:t>3/4</w:t>
            </w:r>
          </w:p>
        </w:tc>
        <w:tc>
          <w:tcPr>
            <w:tcW w:type="dxa" w:w="785"/>
          </w:tcPr>
          <w:p>
            <w:r>
              <w:t>0.072</w:t>
            </w:r>
          </w:p>
        </w:tc>
        <w:tc>
          <w:tcPr>
            <w:tcW w:type="dxa" w:w="785"/>
          </w:tcPr>
          <w:p>
            <w:r>
              <w:t>VUS (high)</w:t>
            </w:r>
          </w:p>
        </w:tc>
        <w:tc>
          <w:tcPr>
            <w:tcW w:type="dxa" w:w="785"/>
          </w:tcPr>
          <w:p>
            <w:r>
              <w:t>5.5</w:t>
            </w:r>
          </w:p>
        </w:tc>
        <w:tc>
          <w:tcPr>
            <w:tcW w:type="dxa" w:w="785"/>
          </w:tcPr>
          <w:p>
            <w:r>
              <w:t>97.0</w:t>
            </w:r>
          </w:p>
        </w:tc>
      </w:tr>
      <w:tr>
        <w:tc>
          <w:tcPr>
            <w:tcW w:type="dxa" w:w="785"/>
          </w:tcPr>
          <w:p>
            <w:r>
              <w:t>CDH2 V289I</w:t>
            </w:r>
          </w:p>
        </w:tc>
        <w:tc>
          <w:tcPr>
            <w:tcW w:type="dxa" w:w="785"/>
          </w:tcPr>
          <w:p>
            <w:r>
              <w:t>CDH2</w:t>
            </w:r>
          </w:p>
        </w:tc>
        <w:tc>
          <w:tcPr>
            <w:tcW w:type="dxa" w:w="785"/>
          </w:tcPr>
          <w:p>
            <w:r>
              <w:t>Tier 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0.135</w:t>
            </w:r>
          </w:p>
        </w:tc>
        <w:tc>
          <w:tcPr>
            <w:tcW w:type="dxa" w:w="785"/>
          </w:tcPr>
          <w:p>
            <w:r>
              <w:t>VUS (low)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97.7</w:t>
            </w:r>
          </w:p>
        </w:tc>
      </w:tr>
      <w:tr>
        <w:tc>
          <w:tcPr>
            <w:tcW w:type="dxa" w:w="785"/>
          </w:tcPr>
          <w:p>
            <w:r>
              <w:t>CDH2 A118T</w:t>
            </w:r>
          </w:p>
        </w:tc>
        <w:tc>
          <w:tcPr>
            <w:tcW w:type="dxa" w:w="785"/>
          </w:tcPr>
          <w:p>
            <w:r>
              <w:t>CDH2</w:t>
            </w:r>
          </w:p>
        </w:tc>
        <w:tc>
          <w:tcPr>
            <w:tcW w:type="dxa" w:w="785"/>
          </w:tcPr>
          <w:p>
            <w:r>
              <w:t>Tier 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0.076</w:t>
            </w:r>
          </w:p>
        </w:tc>
        <w:tc>
          <w:tcPr>
            <w:tcW w:type="dxa" w:w="785"/>
          </w:tcPr>
          <w:p>
            <w:r>
              <w:t>benign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90.2</w:t>
            </w:r>
          </w:p>
        </w:tc>
      </w:tr>
      <w:tr>
        <w:tc>
          <w:tcPr>
            <w:tcW w:type="dxa" w:w="785"/>
          </w:tcPr>
          <w:p>
            <w:r>
              <w:t>ROCK2 D601V</w:t>
            </w:r>
          </w:p>
        </w:tc>
        <w:tc>
          <w:tcPr>
            <w:tcW w:type="dxa" w:w="785"/>
          </w:tcPr>
          <w:p>
            <w:r>
              <w:t>ROCK2</w:t>
            </w:r>
          </w:p>
        </w:tc>
        <w:tc>
          <w:tcPr>
            <w:tcW w:type="dxa" w:w="785"/>
          </w:tcPr>
          <w:p>
            <w:r>
              <w:t>Tier 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0.256</w:t>
            </w:r>
          </w:p>
        </w:tc>
        <w:tc>
          <w:tcPr>
            <w:tcW w:type="dxa" w:w="785"/>
          </w:tcPr>
          <w:p>
            <w:r>
              <w:t>likely benign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77.4</w:t>
            </w:r>
          </w:p>
        </w:tc>
      </w:tr>
    </w:tbl>
    <w:p/>
    <w:p>
      <w:r>
        <w:rPr>
          <w:b w:val="0"/>
          <w:i w:val="0"/>
        </w:rPr>
        <w:t>ROCK2 T367M is the strongest: Tier 1 with structure AND ddG agreeing at the SHROOM3–ROCK2 interface, pLDDT 97, yet AM calls it likely-benign (0.07). The structure-only cases (CDH2 A118T/V289I, ROCK2 D601V) are weaker and may be FoldX false positives. The apparent KPNA6 “catches” are NOT real — AM is mis-parsed for the whole KPNA6 gene (I498T’s true AM is 0.88, i.e., AM agrees).</w:t>
      </w:r>
    </w:p>
    <w:p>
      <w:pPr>
        <w:pStyle w:val="Heading1"/>
      </w:pPr>
      <w:r>
        <w:t>Fresh-eyes standouts — what I find most important, and why</w:t>
      </w:r>
    </w:p>
    <w:p>
      <w:pPr>
        <w:pStyle w:val="ListBullet"/>
      </w:pPr>
      <w:r>
        <w:t>The cleanest positive result is the benchmark tier calibration (100/81/70/33, monotonic, Tier 1 perfectly specific) — a population property, not a cherry-picked variant.</w:t>
      </w:r>
    </w:p>
    <w:p>
      <w:pPr>
        <w:pStyle w:val="ListBullet"/>
      </w:pPr>
      <w:r>
        <w:t>COMAVI’s unique value is in disagreement with AM, not agreement. The headline candidates are already AM-pathogenic, so COMAVI corroborates; the one case that could change an interpretation is ROCK2 T367M (interface disruptor AM calls benign).</w:t>
      </w:r>
    </w:p>
    <w:p>
      <w:pPr>
        <w:pStyle w:val="ListBullet"/>
      </w:pPr>
      <w:r>
        <w:t>The candidate ranking is threshold-sensitive: whether CTNNB1 T297M is a top candidate depends entirely on counting VUS(high) as pathogenic. Reporting both thresholds is the honest move — under strict scoring Franklin is near-vacuous (controls 1/11); under lenient it agrees largely because VUS is being counted as support.</w:t>
      </w:r>
    </w:p>
    <w:p>
      <w:pPr>
        <w:pStyle w:val="ListBullet"/>
      </w:pPr>
      <w:r>
        <w:t>Coverage is the dominant limitation: 69%% of CHD candidates are structurally unevaluable, concentrated in functionally-important disordered regions (e.g., the SHROOM3 PCP cluster).</w:t>
      </w:r>
    </w:p>
    <w:p>
      <w:pPr>
        <w:pStyle w:val="ListBullet"/>
      </w:pPr>
      <w:r>
        <w:t>COMAVI and AM are moderately correlated (rho~0.5), not independent — the orthogonal component is real but partial.</w:t>
      </w:r>
    </w:p>
    <w:p>
      <w:pPr>
        <w:pStyle w:val="ListBullet"/>
      </w:pPr>
      <w:r>
        <w:t>Pre-publication data fixes: KPNA6 AM mis-parse (whole gene), malformed Franklin strings (“VUS mid)”, “VUS(mid)”), and an explicit, documented Franklin threshold choice.</w:t>
      </w:r>
    </w:p>
    <w:p>
      <w:pPr>
        <w:pStyle w:val="Heading1"/>
      </w:pPr>
      <w:r>
        <w:t>Where each pipeline is strongest / weakest</w:t>
      </w:r>
    </w:p>
    <w:p>
      <w:r>
        <w:rPr>
          <w:b w:val="0"/>
          <w:i w:val="0"/>
        </w:rPr>
        <w:t>Strongest: interface/PPI disruption in multimeric context (benchmark HBB tetramer, VHL–ElonginC, SMAD4–SMAD3; CHD ROCK2 T367M). The three-axis decomposition localizes the lesion (monomer-fold vs complex-fold vs binding), which is directly assay-actionable.</w:t>
      </w:r>
    </w:p>
    <w:p>
      <w:r>
        <w:rPr>
          <w:b w:val="0"/>
          <w:i w:val="0"/>
        </w:rPr>
        <w:t>Weakest, and why: (1) coverage — only confident AlphaFold regions are evaluable; (2) gain-of-function/post-translational mechanisms are structurally invisible; (3) polymerization (HBB E6V) and ion/ligand-sensing (CALM1) lesions fall outside the fold/binding axes; (4) FoldX false-positive risk on benign variants, the worry behind the 1/4 structure-only CHD catches.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