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Mechanism-class decomposition, fold-arm errors, and ground-truth conventions</w:t>
            </w:r>
          </w:p>
        </w:tc>
      </w:tr>
      <w:tr>
        <w:tc>
          <w:tcPr>
            <w:tcW w:type="dxa" w:w="2880"/>
          </w:tcPr>
          <w:p>
            <w:r>
              <w:t>Section 2</w:t>
            </w:r>
          </w:p>
        </w:tc>
        <w:tc>
          <w:tcPr>
            <w:tcW w:type="dxa" w:w="2880"/>
          </w:tcPr>
          <w:p>
            <w:r>
              <w:t>Operating-point and calibration diagnostics</w:t>
            </w:r>
          </w:p>
        </w:tc>
      </w:tr>
      <w:tr>
        <w:tc>
          <w:tcPr>
            <w:tcW w:type="dxa" w:w="2880"/>
          </w:tcPr>
          <w:p>
            <w:r>
              <w:t>Section 3</w:t>
            </w:r>
          </w:p>
        </w:tc>
        <w:tc>
          <w:tcPr>
            <w:tcW w:type="dxa" w:w="2880"/>
          </w:tcPr>
          <w:p>
            <w:r>
              <w:t>Structural-context comparators, evidence states, and priority-score sensitivity</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29 variants with committed structural mechanisms and 27 benchmark negatives, a structural fraction of 0.518. Reweighting the classes moved the pooled optimum: 2.5 kcal/mol remained the pooled argmax for weights on the structural arm between 0.418 and 0.588, an interval that contains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prediction-interval limit,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[68,69].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46-variant prioritization subset (S2 Table, context_comparators sheet; S4 Fig). The full tier recovered 17 of 21 structural mechanisms (sensitivity 0.81, exact 95% CI 0.581 to 0.946) but also flagged 12 of 25 no-lesion variants, giving specificity 0.52 (95% CI 0.313 to 0.722; Fisher p = 0.032). Interface status alone recovered 15 of 21 and rejected 18 of 25; the tier without its interface bonus recovered 14 of 21 and rejected 14 of 25 (sensitivity 0.667, specificity 0.56, Fisher p = 0.149). Exact within-system permutation p was 0.1651 for the full tier and 0.5222 for the tier without its interface bonus, so neither screen is separated from chance once system membership is held fixed. Per-tier structural fractions were 11/13 in Tier 1, 6/16 in Tier 2, and 4/17 across Tiers 3-4, so the gradient remains strictly decreasing, but four variants with a modeled structural mechanism now fall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46-variant subset into five equal score bands shows the concentration directly: 8 of the 9 variants in the highest band (0.80-1.00) carry a modeled structural mechanism, 6 of 7 in the next band (0.60-&lt;0.80), and 4 of 16 across the two lowest bands combined. The four in the lowest bands are the four expectations with the smallest measured magnitudes, so the scale concentrates mechanisms at the top but does not separate a sub-threshold effect from silence at the bottom.</w:t>
      </w:r>
    </w:p>
    <w:p>
      <w:pPr/>
      <w:r>
        <w:t>Leave-one-system-out influence. Because variants cluster within protein systems, a single system could carry the ranking result. Removing each of the 13 systems represented in this subset in turn and recomputing gives priority-score ROC AUC between 0.802 and 0.877, against 0.834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nine alternative combinations - a hard cap, an exponential, a smooth normalization, two different energy weightings, a common per-axis anchor, a context term built without the interface bonus, an interface-only context term, and a cohort-standardized combination - gives ROC AUC between 0.794 and 0.844. Eight of the nine keep a graded context term, and all eight rank the cohort almost identically to the reported score (Spearman at least 0.938); their ROC AUC spans 0.794 to 0.844, with the low end belonging to the tier stripped of its interface bonus, which is the ablation reported above rather than a reformulation. The one form that reorders the cohort materially is the interface-only context term, which replaces the graded tier with a binary flag: its ROC AUC is 0.815 but its rank correlation with the reported score falls to 0.788, so what matters is not that it scores slightly lower but that it ranks different variants. None of these was used to select the reported score, and no formula was fitted to this cohort.</w:t>
      </w:r>
    </w:p>
    <w:p>
      <w:pPr/>
      <w:r>
        <w:t>Five of the nine edge above the reported 0.834 and one equals it, the highest reaching 0.844. That excess is 5 discordant pairs out of the 525 positive-negative pairs the statistic is computed over, which is below the resolution at which two rankings can be distinguished on a cohort of this size. One of the two, the cohort-standardized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