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MAVISp is a broad modular framework that includes stability and local-interaction analyses across supplied structural contexts [4].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[19].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w14:paraId="4F385B75" w14: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w14:paraId="3313C524" w14: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This and every subsequent analysis use the same prespecified cohort of 61 variants across 14 protein systems described in Section 2.2 and listed in Table 1 and S1 Table; no variant was added or removed after scoring began. At the 2.5 kcal/mol reference threshold, COMAVI recovered the expected combination of structural effects with a mechanism-pattern score of 39.5/57 = 0.693. This partial-credit result represents 39.5 total points across 57 graded variants, not 39.5 exact matches.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3 and Table 3 show the full tradeoff.</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 3.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3.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r>
        <w:rPr>
          <w:sz w:val="18"/>
        </w:rPr>
        <w:t>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 4.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 5.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 6 shows the score distributions and recovery within a limited experimental budget. The soft-saturation transformation, component ROC curves, score bands, leave-one-system-out influence, and alternative fixed formulas are reported in S5 Text and S4 Fig.</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 6.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 7. Pathogenicity ranking, structural prioritization, and mechanism interpretation are distinct. (a-c) AlphaMissense pathogenicity scores are compared with the structural-context tier, the strongest usable absolute predicted energy, and the priority score. Orange points are pathogenic or pathogenic gain-of-function variants; blue points are benign; the gray band marks the AlphaMissense ambiguous range. (D)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7BA3F3C6" w14: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w14:paraId="7483A273" w14: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w14:paraId="2C325533" w14: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w14:paraId="51C5DE2A" w14: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w14:paraId="1BD7FCAF" w14: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w14:paraId="1091D2FC" w14: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w14:paraId="7B4B3A6E" w14: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18. Vliora A, Tiberti M, Papaleo E. Evaluating FoldX 5.1 for MAVISp stability data collection. bioRxiv. 2026. doi:10.64898/2026.03.31.715598</w:t>
      </w:r>
    </w:p>
    <w:p w14:paraId="20137826" w14: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w14:paraId="00F4427B" w14: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w14:paraId="68735211" w14: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w14:paraId="7E1EB8C9" w14: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w14:paraId="2177705F" w14: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w14:paraId="4D96043D" w14: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w14:paraId="3F1D7737" w14: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w14:paraId="7E701068" w14: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w14:paraId="25F51A5B" w14: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w14:paraId="36F9969B" w14:textId="77777777">
      <w:pPr>
        <w:spacing w:after="50" w:line="240" w:lineRule="auto"/>
        <w:ind w:left="360" w:hanging="360"/>
      </w:pPr>
      <w:r>
        <w:rPr>
          <w:rFonts w:eastAsia="Aptos"/>
          <w:sz w:val="17"/>
        </w:rPr>
        <w:t>46. Franklin by Genoox. Genomic variant interpretation platform. Genoox Ltd. https://franklin.genoox.com (accessed 2026).</w:t>
      </w:r>
    </w:p>
    <w:p w14:paraId="78FBFFB9" w14: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5BCBDD67" w14: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w14:paraId="441BE418" w14: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w14:paraId="059E0FFC" w14: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w14:paraId="0F2D6903" w14:textId="77777777">
      <w:pPr>
        <w:pStyle w:val="Heading1"/>
        <w:pageBreakBefore/>
      </w:pPr>
      <w:r>
        <w:lastRenderedPageBreak/>
        <w:t>Supplementary information</w:t>
      </w:r>
    </w:p>
    <w:p w14:paraId="5C224B31" w14:textId="77777777">
      <w:pPr>
        <w:pStyle w:val="Heading2"/>
      </w:pPr>
      <w:r>
        <w:t>S1 Text - Implementation details and statistical conventions</w:t>
      </w:r>
    </w:p>
    <w:p w14:paraId="2AAB6BFF" w14: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S1 Table</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S1 Table</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S1 Table</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S1 Table</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S1 Table</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S1 Table</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S1 Table</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S1 Table</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S1 Table</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S1 Table</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w14:paraId="09F7BD40" w14: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64D09277" w14: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3847FD88" w14: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t>S2 Text -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w14:paraId="4111021A" w14: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t>S3 Text - Fold-arm errors and ground-truth conventions</w:t>
      </w:r>
    </w:p>
    <w:p w14:paraId="7F8A1E4F" w14:textId="77777777">
      <w:r>
        <w:t>The fold-mechanism class was the weakest primary mechanism arm (weighted mechanism consistency 0.55, n = 10). Its errors separate into prediction misses and disagreements created by the sign-based ground-truth convention.</w:t>
      </w:r>
    </w:p>
    <w:p w14:paraId="70B9B7A7" w14: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S4 Text -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43</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0.84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8</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Both values lie within 1.0 kcal/mol of 2.5.</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0.91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12</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At least one value lies more than 1.0 kcal/mol from 2.5.</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3.02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S5 Text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1778C9B9" w14: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16/9</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0/8</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0/9</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0/11</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15/4</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0/5</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0/12</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0/14</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11/3</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0/15</w:t>
            </w:r>
          </w:p>
        </w:tc>
      </w:tr>
    </w:tbl>
    <w:p w14:paraId="1E348CFE" w14: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0.941 / 0.433 / 0.485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0.941 / 0.700 / 0.640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0.882 / 0.800 / 0.714</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0.882 / 0.700 / 0.625</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0.882 / 0.867 / 0.789</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0.882 / 0.900 / 0.833</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0.647 / 0.833 / 0.688</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0.647 / 0.900 / 0.786</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S6 Text - Pathogenicity comparison, directional enrichment, and gain of function</w:t>
      </w:r>
    </w:p>
    <w:p w14:paraId="1F8B9D5E" w14:textId="77777777">
      <w:r>
        <w:t>At the 2.5 reference, 25/61 benchmark variants had at least one firing energetic output and 36/61 were silent. Among the 56 variants with a clinical label, 42 were pathogenic. All 22 labelled variants with a firing output were pathogenic, whereas the silent group contained 20 pathogenic and 14 benign variants (Fisher p = 3.1 × 10^-4). The 20 pathogenic-but-silent variants spanned 11/14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broader 49-variant clinically labelled set used in the earlier thresholded comparison, AlphaMissense was correct on 38/43 confident calls and 40/49 when ambiguous scores were thresholded at 0.5 and two no-calls were counted as errors. Those counts use a different decision convention and population;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S7 Text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confidence restriction therefore removes lower-confidence observations without turning the remaining cohort into a hidden high-performing subset; it should be read as a robustness view, not as an alternative benchmark definition.</w:t>
      </w:r>
    </w:p>
    <w:p w14:paraId="1BFE6458" w14: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S8 Text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w14:paraId="26A68998" w14: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