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p>
      <w:r>
        <w:rPr>
          <w:i/>
        </w:rPr>
        <w:t>Consolidated for submission. Each section below appeared in the reviewed manuscript under the item name given in its heading.</w:t>
      </w:r>
    </w:p>
    <w:p>
      <w:r>
        <w:rPr>
          <w:b/>
        </w:rPr>
        <w:t>S3 Text.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S4 Text. Operating-point and calibration diagnostics</w:t>
      </w:r>
    </w:p>
    <w:p>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substitution-adjusted setting,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S5 Text. Structural-context comparators, evidence states, and priority-score sensitivity</w:t>
      </w:r>
    </w:p>
    <w:p>
      <w:r>
        <w:t>The full tier, an interface-only screen, and the tier without its interface bonus were compared on the same 47-variant prioritization subset (S4 Table; S3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