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S3 Text. Pathogenicity comparison, robustness, independent validation and a self-caught ground-truth correction.</w:t>
      </w:r>
    </w:p>
    <w:p>
      <w:r>
        <w:rPr>
          <w:i/>
        </w:rPr>
        <w:t>Consolidated for submission. Each section below appeared in the reviewed manuscript under the item name given in its heading.</w:t>
      </w:r>
    </w:p>
    <w:p>
      <w:r>
        <w:rPr>
          <w:b/>
        </w:rPr>
        <w:t>S6 Text. Pathogenicity comparison, directional enrichment, and gain of function</w:t>
      </w:r>
    </w:p>
    <w:p>
      <w:r>
        <w:t>At the 2.5 reference, 27 of 61 benchmark variants had at least one firing energetic output and 34 were silent, where firing uses the shipped reduction over confidence-passing axes rather than a raw threshold on every partner column. Among the 49 variants carrying a curated clinical annotation, 37 were pathogenic. All 22 annotated variants with a firing output were pathogenic, so no benign variant in this cohort produced one, whereas the silent group contained 15 pathogenic and 12 benign variants (Fisher exact p = 2.0 × 10^-4). The 15 pathogenic-but-silent variants spanned 10 of the 14 systems. Because the benchmark was selected for mechanism evidence, these fractions are not expected clinical predictive values; they establish only the direction of the asymmetry between positive and silent structural calls.</w:t>
      </w:r>
    </w:p>
    <w:p>
      <w:r>
        <w:rPr>
          <w:b/>
        </w:rPr>
        <w:t>S7 Text. Robustness, uncertainty, and metric reconciliation</w:t>
      </w:r>
    </w:p>
    <w:p>
      <w:r>
        <w:t>The versioned per-variant mechanism grades and output-level agreement fields are the authoritative source records. In the manuscript, structural agreement is described as a four-output continuity aggregate and is decomposed into the three energetic axes plus tier. The primary convention excludes the four ungraded scope or commitment cases from both whole-variant mechanism scoring and the continuity denominator, giving 92/124 = 0.742 at 2.5 and 90/124 = 0.726 at tSAP. The all-row denominator audit is 92/125 = 0.736 at 2.5. Naive recounts based only on raw ΔΔG sign or per-partner values do not reproduce the metric because the shipped scorer applies direction, operating-point, confidence, and interval gates.</w:t>
      </w:r>
    </w:p>
    <w:p>
      <w:r>
        <w:t>Restricting the primary graded set to crystal or confident site models removes the seven partial-site variants. A636P remains in this sensitivity because it is a confident-site case, so its two newly committed neutral fold expectations still count as prediction disagreements. The restricted cohort scored 37.5/50 = 0.750 against 41.0/57 = 0.719 on the full graded set, a difference of 0.031. The confidence restriction therefore removes lower-confidence observations without turning the remaining cohort into a hidden high-performing subset; it should be read as a robustness view, not as an alternative benchmark definition. The two pLDDT thresholds operate together rather than as alternative configurations: a partner interface enters the gated set at 50, confidence is upgraded to high at 70, and the seven interfaces lying between those values are exactly the seven partial-site variants removed here.</w:t>
      </w:r>
    </w:p>
    <w:p>
      <w:r>
        <w:rPr>
          <w:b/>
        </w:rPr>
        <w:t>S8 Text. Independent binding-axis validation on SKEMPI 2.0</w:t>
      </w:r>
    </w:p>
    <w:p>
      <w:r>
        <w:t>The hemoglobin series provides a high-quality within-system anchor but does not test generalization across unrelated interfaces. We therefore scored two independent SKEMPI 2.0 complexes [56] with the frozen COMAVI workflow: barnase-barstar (24 substitutions) and TEM1-BLIP (24 substitutions on the unambiguously mapped BLIP side). Measured binding ΔΔG was calculated as RT ln(K_D,mut/K_D,wt).</w:t>
      </w:r>
    </w:p>
    <w:p>
      <w:r>
        <w:rPr>
          <w:b/>
        </w:rPr>
        <w:t>S9 Text. Do high-priority variants also have their mechanism graded correctly?</w:t>
      </w:r>
    </w:p>
    <w:p>
      <w:r>
        <w:t>The prioritization and mechanism-grading results answer different questions, and reporting them separately leaves open whether they agree: a variant ranked highly but graded inconsistent would point a user at the right variant with the wrong mechanistic hypothesis. Crossing the two over the 47-variant prioritization population answers the question only partly. Of the 17 variants with a modeled structural mechanism, 16 fall inside the top 20 and the one outside, HBB W37Y, ranks 21st and is graded partial. With a single variant beyond the cut there is no population to contrast against: the mean grade is 0.594 inside against 0.500 outside, and the rank-grade association across all 17 is not significant (Spearman rho = 0.356, p = 0.161). The test is underpowered because the ranking leaves almost nothing outside the cut, not because the two outputs disagree. Both grades sit below the 0.719 whole-cohort score because they are computed within the structural class alone, where the mean grade is 0.588; the whole-cohort figure also contains the curated negatives, on which COMAVI scores 0.812. What can be stated without a significance test is the property that matters operationally: no variant graded fully consistent falls outside the top 20, so the ranking does not bury a variant whose mechanism COMAVI resolves. Within the top 20 the grades are 5 consistent, 9 partial and 2 inconsistent; the two inconsistent cases are MLH1 R755W at rank 11 and PIK3CA E545K at rank 15, and they are the failure mode this analysis is designed to expose - correctly prioritized, incorrectly explained. Only one structural mechanism falls outside the top 20: HBB W37Y at rank 21, immediately below the cut, graded partial. Because a single variant sits beyond the cut, the inside-versus-outside contrast cannot be tested and the descriptive values should not be read as an association; what the crossing does establish is that no fully resolved mechanism is ranked below the cut. This is consistent rather than compounding.</w:t>
      </w:r>
    </w:p>
    <w:p>
      <w:r>
        <w:rPr>
          <w:b/>
        </w:rPr>
        <w:t>S10 Text. A correction the benchmark caught in itself</w:t>
      </w:r>
    </w:p>
    <w:p>
      <w:r>
        <w:t>Every committed expectation in this benchmark carries a written one-line evidence basis and a primary citation alongside its expected token. A shipped gate, scripts/verify_ledger_token_basis.py, reads each basis, keeps the clauses that carry the vocabulary of the axis being committed, and fails if the token asserts disruption where those clauses assert the axis is intact, or the reverse. It is run in continuous integration with the other audits.</w:t>
      </w:r>
    </w:p>
    <w:p>
      <w:r>
        <w:t>Three of the 98 committed expectations failed that check, and all three were binding-axis tokens introduced by a single earlier curation review that changed them from neutral to destabilizing without changing the bases beside them. MSH2 C697F carried a destabilizing binding expectation against a basis reading "ATPase catalytic defect, protein stable, interaction intact". KRAS G12D and G12V carried destabilizing binding expectations against bases recording WT-like RAF1 binding with impaired GTP hydrolysis, and noting that residue 12 lies 13.6 A from the RAF1 interface. In each case the lesion is catalytic and the binding axis is not the axis it affects. The three tokens were returned to neutral and the three variants are now curated as carrying no lesion on the modeled axes.</w:t>
      </w:r>
    </w:p>
    <w:p>
      <w:r>
        <w:t>The correction is reported rather than absorbed because its effects run in both directions. KRAS G12D and G12V move from graded inconsistent to graded consistent, and they are no longer counted among the variants the priority score fails to rank, which removes a limitation the earlier analysis stated. MSH2 C697F moves the other way: it is now a curated negative on which COMAVI predicts 13.3 kcal/mol of isolated-subunit destabilization at a buried-core residue, so it becomes a false positive, it lowers the rejection arm, and it is the one non-structural variant in the highest priority-score band. A correction that only improved the result would deserve more suspicion than this one.</w:t>
      </w:r>
    </w:p>
    <w:p>
      <w:r>
        <w:t>The gate cannot detect every curation error. It reads one curated sentence per axis, so it catches contradictions that are written down; it cannot catch an expectation whose basis is silent on the axis, whose citation is wrong, or which is simply mistaken in a way the curator also wrote down. A passing gate means no committed token contradicts its own recorded evidence, which is weaker than every token being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