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1F35E847" ns2:textId="77777777" w:rsidR="005150BE" w:rsidRDefault="00000000">
      <w:pPr>
        <w:pStyle w:val="Title"/>
        <w:jc w:val="center"/>
      </w:pPr>
      <w:r>
        <w:t>COMAVI: complex-aware structural mechanism profiles for prioritizing missense variants</w:t>
      </w:r>
    </w:p>
    <w:p ns2:paraId="721C9C92" ns2:textId="77777777" w:rsidR="005150BE" w:rsidRDefault="00000000">
      <w:pPr>
        <w:pStyle w:val="Heading1"/>
      </w:pPr>
      <w:r>
        <w:t>Abstract</w:t>
      </w:r>
    </w:p>
    <w:p ns2:paraId="4EAF7065" ns2:textId="287C5A0B" w:rsidR="005150BE" w:rsidRDefault="00000000">
      <w:r>
        <w:rPr>
          <w:rFonts w:ascii="Arial" w:eastAsia="Arial" w:hAnsi="Arial"/>
        </w:rPr>
        <w:t>Pathogenicity scores rank which missense variants may be detrimental but rarely identify the structural process affected or the experiment that would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these it produces a priority score, ranking the strength of modeled structural disruption, and a mechanism profile naming which process is disrupted and therefore which experiment would test it.</w:t>
      </w:r>
      <w:r w:rsidR="00E82045">
        <w:rPr>
          <w:rFonts w:ascii="Arial" w:eastAsia="Arial" w:hAnsi="Arial"/>
        </w:rPr>
      </w:r>
      <w:r>
        <w:rPr>
          <w:rFonts w:ascii="Arial" w:eastAsia="Arial" w:hAnsi="Arial"/>
        </w:rPr>
      </w:r>
    </w:p>
    <w:p ns2:paraId="3B77A723" ns2:textId="77777777"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modeled structural mechanisms in the top 20 and all 17 in the top 25.</w:t>
      </w:r>
    </w:p>
    <w:p ns2:paraId="7853B863" ns2:textId="16FAAF25" w:rsidR="005150BE" w:rsidRDefault="00000000">
      <w:r>
        <w:rPr>
          <w:rFonts w:ascii="Arial" w:eastAsia="Arial" w:hAnsi="Arial"/>
        </w:rPr>
        <w:t>Because a mechanism call converts continuous energy into a yes-or-no decision, every graded result depends on one threshold. Across the prespecified 1.0-2.5 kcal/mol range, fixed before scoring, detecting a disrupted axis stayed nearly flat while attributing it to the axis the literature implicates fell steadily and correct rejection of curated negatives rose. The three axes did not share an optimum, so one global threshold favors stability over interaction.</w:t>
      </w:r>
      <w:r w:rsidR="008763E4">
        <w:rPr>
          <w:rFonts w:ascii="Arial" w:eastAsia="Arial" w:hAnsi="Arial"/>
        </w:rPr>
      </w:r>
      <w:r>
        <w:rPr>
          <w:rFonts w:ascii="Arial" w:eastAsia="Arial" w:hAnsi="Arial"/>
        </w:rPr>
      </w:r>
      <w:commentRangeStart w:id="0"/>
      <w:r>
        <w:rPr>
          <w:rFonts w:ascii="Arial" w:eastAsia="Arial" w:hAnsi="Arial"/>
        </w:rPr>
      </w:r>
      <w:commentRangeEnd w:id="0"/>
      <w:r w:rsidR="008763E4">
        <w:rPr>
          <w:rStyle w:val="CommentReference"/>
          <w:rFonts w:ascii="Arial" w:eastAsia="Arial" w:hAnsi="Arial"/>
          <w:sz w:val="21"/>
          <w:szCs w:val="22"/>
        </w:rPr>
      </w:r>
      <w:r>
        <w:rPr>
          <w:rFonts w:ascii="Arial" w:eastAsia="Arial" w:hAnsi="Arial"/>
        </w:rPr>
      </w:r>
    </w:p>
    <w:p ns2:paraId="3ED5A387"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ns2:paraId="24EF4BBC" ns2:textId="77777777" w:rsidR="00F148F1" w:rsidRDefault="00000000">
      <w:pPr>
        <w:pStyle w:val="Heading1"/>
      </w:pPr>
      <w:r>
        <w:lastRenderedPageBreak/>
        <w:t>Author Summary</w:t>
      </w:r>
    </w:p>
    <w:p ns2:paraId="0B392F09" ns2:textId="767E5B44" w:rsidR="00F148F1" w:rsidRDefault="00000000">
      <w:r>
        <w:t>Genetic testing routinely finds far more single-amino-acid changes in a person's proteins than any laboratory can study. Existing computer tools estimate which of those changes are likely to cause disease, but rarely say how a change does its damage</w:t>
      </w:r>
      <w:r w:rsidR="00B235B2">
        <w:t xml:space="preserve"> which can help determine what experiment to run next. </w:t>
      </w:r>
    </w:p>
    <w:p ns2:paraId="2BCE278A" ns2:textId="77777777" w:rsidR="00F148F1" w:rsidRDefault="00000000">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ns2:paraId="1ECFA69C" ns2:textId="68803470" w:rsidR="00F148F1" w:rsidRDefault="00000000">
      <w:r>
        <w:t xml:space="preserve">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t>
      </w:r>
    </w:p>
    <w:p ns2:paraId="1F378178" ns2:textId="77777777" w:rsidR="005150BE" w:rsidRDefault="00000000">
      <w:pPr>
        <w:pStyle w:val="Heading1"/>
        <w:spacing w:after="50"/>
      </w:pPr>
      <w:r>
        <w:t>1. Introduction</w:t>
      </w:r>
    </w:p>
    <w:p ns2:paraId="2F6EA76B" ns2:textId="77777777" w:rsidR="00FE2FC0" w:rsidRPr="00FE2FC0" w:rsidRDefault="00FE2FC0" w:rsidP="00FE2FC0">
      <w:pPr>
        <w:pStyle w:val="NormalWeb"/>
        <w:rPr>
          <w:rFonts w:ascii="Arial" w:hAnsi="Arial" w:cs="Arial"/>
          <w:sz w:val="21"/>
          <w:szCs w:val="21"/>
        </w:rPr>
      </w:pPr>
      <w:r w:rsidRPr="00FE2FC0">
        <w:rPr>
          <w:rFonts w:ascii="Arial" w:hAnsi="Arial" w:cs="Arial"/>
          <w:sz w:val="21"/>
          <w:szCs w:val="21"/>
        </w:rPr>
        <w:t xml:space="preserve">Improvements in sequencing technology and the falling cost of full genome sequencing have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or functional constraint [1,2]. These variant effect prediction tools are incredibly useful;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p>
    <w:p ns2:paraId="43199102" ns2:textId="77777777" w:rsidR="005150BE" w:rsidRDefault="00FE2FC0" w:rsidP="00FE2FC0">
      <w:pPr>
        <w:pStyle w:val="NormalWeb"/>
        <w:rPr>
          <w:rFonts w:ascii="Arial" w:hAnsi="Arial" w:cs="Arial"/>
          <w:sz w:val="21"/>
          <w:szCs w:val="21"/>
        </w:rPr>
      </w:pPr>
      <w:r w:rsidRPr="00FE2FC0">
        <w:rPr>
          <w:rFonts w:ascii="Arial" w:hAnsi="Arial" w:cs="Arial"/>
          <w:sz w:val="21"/>
          <w:szCs w:val="21"/>
        </w:rPr>
        <w:t xml:space="preserve">Additionally, many proteins function in complexes, and the structural context of a residue changes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w:t>
      </w:r>
      <w:r w:rsidRPr="00FE2FC0">
        <w:rPr>
          <w:rFonts w:ascii="Arial" w:hAnsi="Arial" w:cs="Arial"/>
          <w:sz w:val="21"/>
          <w:szCs w:val="21"/>
        </w:rPr>
        <w:lastRenderedPageBreak/>
        <w:t xml:space="preserve">that measure folding and binding separately reveal distinct energetic and allosteric effects [3]. A method intended to evaluate the specific structural impact of a variant and guide experimental follow-up should preserve this monomer-versus-multimer distinction rather than collapse it into one impact score. Previously, evaluation of these multimer structural impacts was not feasible at scale due to technical limitations, but recently, structural modeling tools such as AlphaFold 3 and the Boltz series have substantially improved the accuracy of predicted complex structures [4-6]. </w:t>
      </w:r>
    </w:p>
    <w:p ns2:paraId="46DCCB19" ns2:textId="77777777"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1F6861F7" ns2:textId="77777777" w:rsidR="003650EB" w:rsidRPr="003650EB" w:rsidRDefault="003650EB" w:rsidP="003650EB">
      <w:pPr>
        <w:rPr>
          <w:rFonts w:ascii="Arial" w:hAnsi="Arial" w:cs="Arial"/>
        </w:rPr>
      </w:pPr>
    </w:p>
    <w:p ns2:paraId="0282F915" ns2:textId="4A386869" w:rsidR="005150BE" w:rsidRDefault="00FE2FC0">
      <w:commentRangeStart w:id="1"/>
      <w:r>
        <w:rPr>
          <w:rFonts w:ascii="Arial" w:eastAsia="Arial" w:hAnsi="Arial"/>
        </w:rPr>
        <w:t>Some structural annotation tools now place variants in experimental and predicted structures [7-13], and two resources evaluate both the monomeric and the assembled context: ELASPIC, which assigns each substitution to a core or an interface and predicts the corresponding quantity [14], and MAVISp, which computes folding and local-interaction free energies in separate modules across more than a thousand proteins [15]. In both cases a substitution is assigned to one structural context; neither computes the isolated subunit and the assembled complex for the same substitution and contrasts them. That contrast carries mechanism. A substitution that destabilizes the isolated subunit points toward a subunit less likely to reach its folded state, and therefore toward reduced abundance rather than a defective complex, whereas one that leaves the subunit intact and weakens a specific interaction points toward a protein that is present but fails to engage its partner.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and keeps the fold and binding predictions separate. Related stability and interface methods provide complementary benchmarks and predictors [16-23]. Section 4.1 sets out in full what COMAVI shares with the closest existing framework and what it adds.</w:t>
      </w:r>
      <w:r w:rsidR="009D45CC">
        <w:rPr>
          <w:rFonts w:ascii="Arial" w:eastAsia="Arial" w:hAnsi="Arial"/>
        </w:rPr>
      </w:r>
      <w:r>
        <w:rPr>
          <w:rFonts w:ascii="Arial" w:eastAsia="Arial" w:hAnsi="Arial"/>
        </w:rPr>
      </w:r>
      <w:r>
        <w:rPr>
          <w:rFonts w:ascii="Arial" w:eastAsia="Arial" w:hAnsi="Arial"/>
        </w:rPr>
      </w:r>
      <w:commentRangeEnd w:id="1"/>
      <w:r w:rsidR="009D45CC">
        <w:rPr>
          <w:rStyle w:val="CommentReference"/>
          <w:sz w:val="21"/>
          <w:szCs w:val="22"/>
        </w:rPr>
      </w:r>
    </w:p>
    <w:p ns2:paraId="759A3E84" ns2:textId="77777777" w:rsidR="005150BE" w:rsidRDefault="00000000">
      <w:pPr>
        <w:pStyle w:val="Heading1"/>
        <w:spacing w:after="50"/>
      </w:pPr>
      <w:r>
        <w:t>2. Materials and Methods</w:t>
      </w:r>
    </w:p>
    <w:p ns2:paraId="395D4E62" ns2:textId="77777777" w:rsidR="005150BE" w:rsidRDefault="00000000">
      <w:pPr>
        <w:pStyle w:val="Heading2"/>
      </w:pPr>
      <w:r>
        <w:t>2.1 What COMAVI computes</w:t>
      </w:r>
    </w:p>
    <w:p ns2:paraId="28EB081F" ns2:textId="38AA37F3" w:rsidR="005150BE" w:rsidRDefault="00000000">
      <w:r>
        <w:rPr>
          <w:rFonts w:ascii="Arial" w:eastAsia="Arial" w:hAnsi="Arial"/>
        </w:rPr>
        <w:t xml:space="preserve">COMAVI takes a missense variant plus isolated and assembled structural models and calculates three FoldX 5.1 energy changes: stability of the isolated subunit, stability calculated in the assembled complex, and interaction energy for each protein partner. 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It is worth separating what the pipeline produces from what this evaluation adds. The pipeline's outputs are the three per-axis energies, the structural-context tier and the priority score, and none of them requires a decision threshold. A threshold enters only to convert those continuous energies into the discrete mechanism calls that can be graded against categorical literature labels; it is therefore an instrument of the evaluation rather than a parameter of the method, and a user running COMAVI on their own variants obtains the energies, the tier and the score without choosing one. Section 3.5 reports how much the graded results depend on that choice. </w:t>
      </w:r>
    </w:p>
    <w:p ns2:paraId="5BA35950" ns2:textId="77777777" w:rsidR="005150BE" w:rsidRDefault="00000000">
      <w:pPr>
        <w:keepNext/>
        <w:spacing w:before="80" w:after="20"/>
        <w:jc w:val="center"/>
      </w:pPr>
      <w:commentRangeStart w:id="2"/>
      <w:commentRangeStart w:id="3"/>
      <w:r>
        <w:rPr>
          <w:noProof/>
        </w:rPr>
        <w:lastRenderedPageBreak/>
        <w:drawing>
          <wp:inline distT="0" distB="0" distL="0" distR="0" ns4:anchorId="71CF3161" ns4:editId="7E30AA98">
            <wp:extent cx="5943600" cy="2229552"/>
            <wp:effectExtent l="0" t="0" r="0" b="8255"/>
            <wp:docPr id="22" name="Picture 22"/>
            <wp:cNvGraphicFramePr>
              <a:graphicFrameLocks noChangeAspect="1"/>
            </wp:cNvGraphicFramePr>
            <a:graphic>
              <a:graphicData uri="http://schemas.openxmlformats.org/drawingml/2006/picture">
                <ns6:pic>
                  <ns6:nvPicPr>
                    <ns6:cNvPr id="22" name="Picture 22"/>
                    <ns6:cNvPicPr/>
                  </ns6:nvPicPr>
                  <ns6:blipFill>
                    <a:blip r:embed="rId12"/>
                    <a:stretch>
                      <a:fillRect/>
                    </a:stretch>
                  </ns6:blipFill>
                  <ns6:spPr>
                    <a:xfrm>
                      <a:off x="0" y="0"/>
                      <a:ext cx="5943600" cy="2229552"/>
                    </a:xfrm>
                    <a:prstGeom prst="rect">
                      <a:avLst/>
                    </a:prstGeom>
                  </ns6:spPr>
                </ns6:pic>
              </a:graphicData>
            </a:graphic>
          </wp:inline>
        </w:drawing>
      </w:r>
      <w:commentRangeEnd w:id="2"/>
      <w:r w:rsidR="00075399">
        <w:rPr>
          <w:rStyle w:val="CommentReference"/>
          <w:sz w:val="21"/>
          <w:szCs w:val="22"/>
        </w:rPr>
        <w:commentReference w:id="2"/>
      </w:r>
      <w:commentRangeEnd w:id="3"/>
      <w:r w:rsidR="008731AC">
        <w:rPr>
          <w:rStyle w:val="CommentReference"/>
          <w:sz w:val="21"/>
          <w:szCs w:val="22"/>
        </w:rPr>
        <w:commentReference w:id="3"/>
      </w:r>
    </w:p>
    <w:p ns2:paraId="24A639EA" ns2:textId="77777777"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18089669" ns2:textId="77777777" w:rsidR="005150BE" w:rsidRDefault="00000000">
      <w:pPr>
        <w:pStyle w:val="Heading2"/>
      </w:pPr>
      <w:r>
        <w:t>2.2 Benchmark populations and literature-defined expectations</w:t>
      </w:r>
    </w:p>
    <w:p ns2:paraId="1C7EE9CD" ns2:textId="3BCF2CC8" w:rsidR="005150BE" w:rsidRDefault="00000000">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[24]. Systems were selected on two criteria.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Every committed expectation carries a one-line written evidence basis and a primary citation, recorded per variant and per axis in S1 Table (benchmark_variants sheet). Three nested populations are used and are reported explicitly throughout, because each is the correct denominator for a different claim. All 61 variants receive COMAVI outputs. Of these, 57 carry a committed mechanism expectation and are graded. The four excluded fall into two classes defined in S1 Table (model_scope sheet): for BRCA1 R1699L and R1699Q the mechanism is not observable on the supplied structure, while TNNI3 R162W and VHL W117R are mechanistically uncommitted on every modeled axis.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The 57 graded variants comprise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Table 1 gives the composition of the resource by system. The primary literature underlying the curated expectations across the 14 systems is [25-43].</w:t>
      </w:r>
      <w:r w:rsidR="008731AC">
        <w:rPr>
          <w:rFonts w:ascii="Arial" w:eastAsia="Arial" w:hAnsi="Arial"/>
        </w:rPr>
      </w:r>
      <w:r>
        <w:rPr>
          <w:rFonts w:ascii="Arial" w:eastAsia="Arial" w:hAnsi="Arial"/>
        </w:rPr>
      </w:r>
      <w:r w:rsidR="008731AC">
        <w:rPr>
          <w:rFonts w:ascii="Arial" w:eastAsia="Arial" w:hAnsi="Arial"/>
        </w:rPr>
      </w:r>
      <w:r>
        <w:rPr>
          <w:rFonts w:ascii="Arial" w:eastAsia="Arial" w:hAnsi="Arial"/>
        </w:rPr>
      </w:r>
      <w:r>
        <w:rPr>
          <w:rFonts w:ascii="Arial" w:eastAsia="Arial" w:hAnsi="Arial"/>
        </w:rPr>
      </w:r>
    </w:p>
    <w:p ns2:paraId="4BDC2507"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p>
    <w:p ns2:paraId="5785694A" ns2:textId="77777777" w:rsidR="005150BE" w:rsidRDefault="001A2D1D">
      <w:pPr>
        <w:pStyle w:val="Caption"/>
        <w:rPr>
          <w:rStyle w:val="CommentReference"/>
          <w:rFonts w:ascii="Arial" w:hAnsi="Arial" w:cs="Arial"/>
          <w:sz w:val="21"/>
          <w:szCs w:val="22"/>
        </w:rPr>
      </w:pPr>
      <w:r w:rsidRPr="000B1FC7">
        <w:rPr>
          <w:rStyle w:val="CommentReference"/>
          <w:rFonts w:ascii="Arial" w:hAnsi="Arial" w:cs="Arial"/>
          <w:sz w:val="21"/>
          <w:szCs w:val="22"/>
        </w:rPr>
        <w:t>Table 1. Benchmark composition.</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8"/>
        <w:gridCol w:w="1428"/>
        <w:gridCol w:w="1428"/>
        <w:gridCol w:w="1428"/>
        <w:gridCol w:w="1428"/>
        <w:gridCol w:w="1428"/>
        <w:gridCol w:w="1428"/>
      </w:tblGrid>
      <w:tr>
        <w:tc>
          <w:tcPr>
            <w:tcW w:type="dxa" w:w="1428"/>
          </w:tcPr>
          <w:p>
            <w:pPr>
              <w:spacing w:line="240" w:lineRule="auto"/>
            </w:pPr>
            <w:r/>
            <w:r>
              <w:rPr>
                <w:b/>
                <w:sz w:val="17"/>
              </w:rPr>
              <w:t>System</w:t>
            </w:r>
          </w:p>
        </w:tc>
        <w:tc>
          <w:tcPr>
            <w:tcW w:type="dxa" w:w="1428"/>
          </w:tcPr>
          <w:p>
            <w:pPr>
              <w:spacing w:line="240" w:lineRule="auto"/>
            </w:pPr>
            <w:r/>
            <w:r>
              <w:rPr>
                <w:b/>
                <w:sz w:val="17"/>
              </w:rPr>
              <w:t>Variant gene</w:t>
            </w:r>
          </w:p>
        </w:tc>
        <w:tc>
          <w:tcPr>
            <w:tcW w:type="dxa" w:w="1428"/>
          </w:tcPr>
          <w:p>
            <w:pPr>
              <w:spacing w:line="240" w:lineRule="auto"/>
            </w:pPr>
            <w:r/>
            <w:r>
              <w:rPr>
                <w:b/>
                <w:sz w:val="17"/>
              </w:rPr>
              <w:t>Variants</w:t>
            </w:r>
          </w:p>
        </w:tc>
        <w:tc>
          <w:tcPr>
            <w:tcW w:type="dxa" w:w="1428"/>
          </w:tcPr>
          <w:p>
            <w:pPr>
              <w:spacing w:line="240" w:lineRule="auto"/>
            </w:pPr>
            <w:r/>
            <w:r>
              <w:rPr>
                <w:b/>
                <w:sz w:val="17"/>
              </w:rPr>
              <w:t>Mechanism-gradeable</w:t>
            </w:r>
          </w:p>
        </w:tc>
        <w:tc>
          <w:tcPr>
            <w:tcW w:type="dxa" w:w="1428"/>
          </w:tcPr>
          <w:p>
            <w:pPr>
              <w:spacing w:line="240" w:lineRule="auto"/>
            </w:pPr>
            <w:r/>
            <w:r>
              <w:rPr>
                <w:b/>
                <w:sz w:val="17"/>
              </w:rPr>
              <w:t>Pathogenic</w:t>
            </w:r>
          </w:p>
        </w:tc>
        <w:tc>
          <w:tcPr>
            <w:tcW w:type="dxa" w:w="1428"/>
          </w:tcPr>
          <w:p>
            <w:pPr>
              <w:spacing w:line="240" w:lineRule="auto"/>
            </w:pPr>
            <w:r/>
            <w:r>
              <w:rPr>
                <w:b/>
                <w:sz w:val="17"/>
              </w:rPr>
              <w:t>Structure</w:t>
            </w:r>
          </w:p>
        </w:tc>
        <w:tc>
          <w:tcPr>
            <w:tcW w:type="dxa" w:w="1428"/>
          </w:tcPr>
          <w:p>
            <w:pPr>
              <w:spacing w:line="240" w:lineRule="auto"/>
            </w:pPr>
            <w:r/>
            <w:r>
              <w:rPr>
                <w:b/>
                <w:sz w:val="17"/>
              </w:rPr>
              <w:t>Model Source</w:t>
            </w:r>
          </w:p>
        </w:tc>
      </w:tr>
      <w:tr>
        <w:tc>
          <w:tcPr>
            <w:tcW w:type="dxa" w:w="1428"/>
          </w:tcPr>
          <w:p>
            <w:pPr>
              <w:spacing w:line="240" w:lineRule="auto"/>
            </w:pPr>
            <w:r/>
            <w:r>
              <w:rPr>
                <w:sz w:val="17"/>
              </w:rPr>
              <w:t>BRCA1 BRCT tandem domain (fold only)</w:t>
            </w:r>
          </w:p>
        </w:tc>
        <w:tc>
          <w:tcPr>
            <w:tcW w:type="dxa" w:w="1428"/>
          </w:tcPr>
          <w:p>
            <w:pPr>
              <w:spacing w:line="240" w:lineRule="auto"/>
            </w:pPr>
            <w:r/>
            <w:r>
              <w:rPr>
                <w:sz w:val="17"/>
              </w:rPr>
              <w:t>BRCA1</w:t>
            </w:r>
          </w:p>
        </w:tc>
        <w:tc>
          <w:tcPr>
            <w:tcW w:type="dxa" w:w="1428"/>
          </w:tcPr>
          <w:p>
            <w:pPr>
              <w:spacing w:line="240" w:lineRule="auto"/>
            </w:pPr>
            <w:r/>
            <w:r>
              <w:rPr>
                <w:sz w:val="17"/>
              </w:rPr>
              <w:t>12</w:t>
            </w:r>
          </w:p>
        </w:tc>
        <w:tc>
          <w:tcPr>
            <w:tcW w:type="dxa" w:w="1428"/>
          </w:tcPr>
          <w:p>
            <w:pPr>
              <w:spacing w:line="240" w:lineRule="auto"/>
            </w:pPr>
            <w:r/>
            <w:r>
              <w:rPr>
                <w:sz w:val="17"/>
              </w:rPr>
              <w:t>10</w:t>
            </w:r>
          </w:p>
        </w:tc>
        <w:tc>
          <w:tcPr>
            <w:tcW w:type="dxa" w:w="1428"/>
          </w:tcPr>
          <w:p>
            <w:pPr>
              <w:spacing w:line="240" w:lineRule="auto"/>
            </w:pPr>
            <w:r/>
            <w:r>
              <w:rPr>
                <w:sz w:val="17"/>
              </w:rPr>
              <w:t>0</w:t>
            </w:r>
          </w:p>
        </w:tc>
        <w:tc>
          <w:tcPr>
            <w:tcW w:type="dxa" w:w="1428"/>
          </w:tcPr>
          <w:p>
            <w:pPr>
              <w:spacing w:line="240" w:lineRule="auto"/>
            </w:pPr>
            <w:r/>
            <w:r>
              <w:rPr>
                <w:sz w:val="17"/>
              </w:rPr>
              <w:t>1JNX.pdb</w:t>
            </w:r>
          </w:p>
        </w:tc>
        <w:tc>
          <w:tcPr>
            <w:tcW w:type="dxa" w:w="1428"/>
          </w:tcPr>
          <w:p>
            <w:pPr>
              <w:spacing w:line="240" w:lineRule="auto"/>
            </w:pPr>
            <w:r/>
            <w:r>
              <w:rPr>
                <w:sz w:val="17"/>
              </w:rPr>
              <w:t>Experimental</w:t>
            </w:r>
          </w:p>
        </w:tc>
      </w:tr>
      <w:tr>
        <w:tc>
          <w:tcPr>
            <w:tcW w:type="dxa" w:w="1428"/>
          </w:tcPr>
          <w:p>
            <w:pPr>
              <w:spacing w:line="240" w:lineRule="auto"/>
            </w:pPr>
            <w:r/>
            <w:r>
              <w:rPr>
                <w:sz w:val="17"/>
              </w:rPr>
              <w:t>BRCA1-BARD1 RING heterodimer</w:t>
            </w:r>
          </w:p>
        </w:tc>
        <w:tc>
          <w:tcPr>
            <w:tcW w:type="dxa" w:w="1428"/>
          </w:tcPr>
          <w:p>
            <w:pPr>
              <w:spacing w:line="240" w:lineRule="auto"/>
            </w:pPr>
            <w:r/>
            <w:r>
              <w:rPr>
                <w:sz w:val="17"/>
              </w:rPr>
              <w:t>BRCA1</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2</w:t>
            </w:r>
          </w:p>
        </w:tc>
        <w:tc>
          <w:tcPr>
            <w:tcW w:type="dxa" w:w="1428"/>
          </w:tcPr>
          <w:p>
            <w:pPr>
              <w:spacing w:line="240" w:lineRule="auto"/>
            </w:pPr>
            <w:r/>
            <w:r>
              <w:rPr>
                <w:sz w:val="17"/>
              </w:rPr>
              <w:t>1JM7.pdb</w:t>
            </w:r>
          </w:p>
        </w:tc>
        <w:tc>
          <w:tcPr>
            <w:tcW w:type="dxa" w:w="1428"/>
          </w:tcPr>
          <w:p>
            <w:pPr>
              <w:spacing w:line="240" w:lineRule="auto"/>
            </w:pPr>
            <w:r/>
            <w:r>
              <w:rPr>
                <w:sz w:val="17"/>
              </w:rPr>
              <w:t>Experimental</w:t>
            </w:r>
          </w:p>
        </w:tc>
      </w:tr>
      <w:tr>
        <w:tc>
          <w:tcPr>
            <w:tcW w:type="dxa" w:w="1428"/>
          </w:tcPr>
          <w:p>
            <w:pPr>
              <w:spacing w:line="240" w:lineRule="auto"/>
            </w:pPr>
            <w:r/>
            <w:r>
              <w:rPr>
                <w:sz w:val="17"/>
              </w:rPr>
              <w:t>Calmodulin-Ca(v)1.2 IQ domain</w:t>
            </w:r>
          </w:p>
        </w:tc>
        <w:tc>
          <w:tcPr>
            <w:tcW w:type="dxa" w:w="1428"/>
          </w:tcPr>
          <w:p>
            <w:pPr>
              <w:spacing w:line="240" w:lineRule="auto"/>
            </w:pPr>
            <w:r/>
            <w:r>
              <w:rPr>
                <w:sz w:val="17"/>
              </w:rPr>
              <w:t>CALM1</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fold_calm1_cacna1c_model_0.pdb</w:t>
            </w:r>
          </w:p>
        </w:tc>
        <w:tc>
          <w:tcPr>
            <w:tcW w:type="dxa" w:w="1428"/>
          </w:tcPr>
          <w:p>
            <w:pPr>
              <w:spacing w:line="240" w:lineRule="auto"/>
            </w:pPr>
            <w:r/>
            <w:r>
              <w:rPr>
                <w:sz w:val="17"/>
              </w:rPr>
              <w:t>AlphaFold</w:t>
            </w:r>
          </w:p>
        </w:tc>
      </w:tr>
      <w:tr>
        <w:tc>
          <w:tcPr>
            <w:tcW w:type="dxa" w:w="1428"/>
          </w:tcPr>
          <w:p>
            <w:pPr>
              <w:spacing w:line="240" w:lineRule="auto"/>
            </w:pPr>
            <w:r/>
            <w:r>
              <w:rPr>
                <w:sz w:val="17"/>
              </w:rPr>
              <w:t>Complement factor H-C3b</w:t>
            </w:r>
          </w:p>
        </w:tc>
        <w:tc>
          <w:tcPr>
            <w:tcW w:type="dxa" w:w="1428"/>
          </w:tcPr>
          <w:p>
            <w:pPr>
              <w:spacing w:line="240" w:lineRule="auto"/>
            </w:pPr>
            <w:r/>
            <w:r>
              <w:rPr>
                <w:sz w:val="17"/>
              </w:rPr>
              <w:t>CFH</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2</w:t>
            </w:r>
          </w:p>
        </w:tc>
        <w:tc>
          <w:tcPr>
            <w:tcW w:type="dxa" w:w="1428"/>
          </w:tcPr>
          <w:p>
            <w:pPr>
              <w:spacing w:line="240" w:lineRule="auto"/>
            </w:pPr>
            <w:r/>
            <w:r>
              <w:rPr>
                <w:sz w:val="17"/>
              </w:rPr>
              <w:t>2WII_trim.pdb</w:t>
            </w:r>
          </w:p>
        </w:tc>
        <w:tc>
          <w:tcPr>
            <w:tcW w:type="dxa" w:w="1428"/>
          </w:tcPr>
          <w:p>
            <w:pPr>
              <w:spacing w:line="240" w:lineRule="auto"/>
            </w:pPr>
            <w:r/>
            <w:r>
              <w:rPr>
                <w:sz w:val="17"/>
              </w:rPr>
              <w:t>Experimental</w:t>
            </w:r>
          </w:p>
        </w:tc>
      </w:tr>
      <w:tr>
        <w:tc>
          <w:tcPr>
            <w:tcW w:type="dxa" w:w="1428"/>
          </w:tcPr>
          <w:p>
            <w:pPr>
              <w:spacing w:line="240" w:lineRule="auto"/>
            </w:pPr>
            <w:r/>
            <w:r>
              <w:rPr>
                <w:sz w:val="17"/>
              </w:rPr>
              <w:t>Hemoglobin alpha-beta dimer</w:t>
            </w:r>
          </w:p>
        </w:tc>
        <w:tc>
          <w:tcPr>
            <w:tcW w:type="dxa" w:w="1428"/>
          </w:tcPr>
          <w:p>
            <w:pPr>
              <w:spacing w:line="240" w:lineRule="auto"/>
            </w:pPr>
            <w:r/>
            <w:r>
              <w:rPr>
                <w:sz w:val="17"/>
              </w:rPr>
              <w:t>HBB</w:t>
            </w:r>
          </w:p>
        </w:tc>
        <w:tc>
          <w:tcPr>
            <w:tcW w:type="dxa" w:w="1428"/>
          </w:tcPr>
          <w:p>
            <w:pPr>
              <w:spacing w:line="240" w:lineRule="auto"/>
            </w:pPr>
            <w:r/>
            <w:r>
              <w:rPr>
                <w:sz w:val="17"/>
              </w:rPr>
              <w:t>1</w:t>
            </w:r>
          </w:p>
        </w:tc>
        <w:tc>
          <w:tcPr>
            <w:tcW w:type="dxa" w:w="1428"/>
          </w:tcPr>
          <w:p>
            <w:pPr>
              <w:spacing w:line="240" w:lineRule="auto"/>
            </w:pPr>
            <w:r/>
            <w:r>
              <w:rPr>
                <w:sz w:val="17"/>
              </w:rPr>
              <w:t>1</w:t>
            </w:r>
          </w:p>
        </w:tc>
        <w:tc>
          <w:tcPr>
            <w:tcW w:type="dxa" w:w="1428"/>
          </w:tcPr>
          <w:p>
            <w:pPr>
              <w:spacing w:line="240" w:lineRule="auto"/>
            </w:pPr>
            <w:r/>
            <w:r>
              <w:rPr>
                <w:sz w:val="17"/>
              </w:rPr>
              <w:t>1</w:t>
            </w:r>
          </w:p>
        </w:tc>
        <w:tc>
          <w:tcPr>
            <w:tcW w:type="dxa" w:w="1428"/>
          </w:tcPr>
          <w:p>
            <w:pPr>
              <w:spacing w:line="240" w:lineRule="auto"/>
            </w:pPr>
            <w:r/>
            <w:r>
              <w:rPr>
                <w:sz w:val="17"/>
              </w:rPr>
              <w:t>2HHB.pdb</w:t>
            </w:r>
          </w:p>
        </w:tc>
        <w:tc>
          <w:tcPr>
            <w:tcW w:type="dxa" w:w="1428"/>
          </w:tcPr>
          <w:p>
            <w:pPr>
              <w:spacing w:line="240" w:lineRule="auto"/>
            </w:pPr>
            <w:r/>
            <w:r>
              <w:rPr>
                <w:sz w:val="17"/>
              </w:rPr>
              <w:t>Experimental</w:t>
            </w:r>
          </w:p>
        </w:tc>
      </w:tr>
      <w:tr>
        <w:tc>
          <w:tcPr>
            <w:tcW w:type="dxa" w:w="1428"/>
          </w:tcPr>
          <w:p>
            <w:pPr>
              <w:spacing w:line="240" w:lineRule="auto"/>
            </w:pPr>
            <w:r/>
            <w:r>
              <w:rPr>
                <w:sz w:val="17"/>
              </w:rPr>
              <w:t>Hemoglobin tetramer</w:t>
            </w:r>
          </w:p>
        </w:tc>
        <w:tc>
          <w:tcPr>
            <w:tcW w:type="dxa" w:w="1428"/>
          </w:tcPr>
          <w:p>
            <w:pPr>
              <w:spacing w:line="240" w:lineRule="auto"/>
            </w:pPr>
            <w:r/>
            <w:r>
              <w:rPr>
                <w:sz w:val="17"/>
              </w:rPr>
              <w:t>HBB</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2HHB.pdb</w:t>
            </w:r>
          </w:p>
        </w:tc>
        <w:tc>
          <w:tcPr>
            <w:tcW w:type="dxa" w:w="1428"/>
          </w:tcPr>
          <w:p>
            <w:pPr>
              <w:spacing w:line="240" w:lineRule="auto"/>
            </w:pPr>
            <w:r/>
            <w:r>
              <w:rPr>
                <w:sz w:val="17"/>
              </w:rPr>
              <w:t>Experimental</w:t>
            </w:r>
          </w:p>
        </w:tc>
      </w:tr>
      <w:tr>
        <w:tc>
          <w:tcPr>
            <w:tcW w:type="dxa" w:w="1428"/>
          </w:tcPr>
          <w:p>
            <w:pPr>
              <w:spacing w:line="240" w:lineRule="auto"/>
            </w:pPr>
            <w:r/>
            <w:r>
              <w:rPr>
                <w:sz w:val="17"/>
              </w:rPr>
              <w:t>KRAS-CRAF RBD</w:t>
            </w:r>
          </w:p>
        </w:tc>
        <w:tc>
          <w:tcPr>
            <w:tcW w:type="dxa" w:w="1428"/>
          </w:tcPr>
          <w:p>
            <w:pPr>
              <w:spacing w:line="240" w:lineRule="auto"/>
            </w:pPr>
            <w:r/>
            <w:r>
              <w:rPr>
                <w:sz w:val="17"/>
              </w:rPr>
              <w:t>KRAS</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6XI7.pdb</w:t>
            </w:r>
          </w:p>
        </w:tc>
        <w:tc>
          <w:tcPr>
            <w:tcW w:type="dxa" w:w="1428"/>
          </w:tcPr>
          <w:p>
            <w:pPr>
              <w:spacing w:line="240" w:lineRule="auto"/>
            </w:pPr>
            <w:r/>
            <w:r>
              <w:rPr>
                <w:sz w:val="17"/>
              </w:rPr>
              <w:t>Experimental</w:t>
            </w:r>
          </w:p>
        </w:tc>
      </w:tr>
      <w:tr>
        <w:tc>
          <w:tcPr>
            <w:tcW w:type="dxa" w:w="1428"/>
          </w:tcPr>
          <w:p>
            <w:pPr>
              <w:spacing w:line="240" w:lineRule="auto"/>
            </w:pPr>
            <w:r/>
            <w:r>
              <w:rPr>
                <w:sz w:val="17"/>
              </w:rPr>
              <w:t>MLH1-PMS2 C-terminal heterodimer</w:t>
            </w:r>
          </w:p>
        </w:tc>
        <w:tc>
          <w:tcPr>
            <w:tcW w:type="dxa" w:w="1428"/>
          </w:tcPr>
          <w:p>
            <w:pPr>
              <w:spacing w:line="240" w:lineRule="auto"/>
            </w:pPr>
            <w:r/>
            <w:r>
              <w:rPr>
                <w:sz w:val="17"/>
              </w:rPr>
              <w:t>MLH1/PMS2</w:t>
            </w:r>
          </w:p>
        </w:tc>
        <w:tc>
          <w:tcPr>
            <w:tcW w:type="dxa" w:w="1428"/>
          </w:tcPr>
          <w:p>
            <w:pPr>
              <w:spacing w:line="240" w:lineRule="auto"/>
            </w:pPr>
            <w:r/>
            <w:r>
              <w:rPr>
                <w:sz w:val="17"/>
              </w:rPr>
              <w:t>7</w:t>
            </w:r>
          </w:p>
        </w:tc>
        <w:tc>
          <w:tcPr>
            <w:tcW w:type="dxa" w:w="1428"/>
          </w:tcPr>
          <w:p>
            <w:pPr>
              <w:spacing w:line="240" w:lineRule="auto"/>
            </w:pPr>
            <w:r/>
            <w:r>
              <w:rPr>
                <w:sz w:val="17"/>
              </w:rPr>
              <w:t>7</w:t>
            </w:r>
          </w:p>
        </w:tc>
        <w:tc>
          <w:tcPr>
            <w:tcW w:type="dxa" w:w="1428"/>
          </w:tcPr>
          <w:p>
            <w:pPr>
              <w:spacing w:line="240" w:lineRule="auto"/>
            </w:pPr>
            <w:r/>
            <w:r>
              <w:rPr>
                <w:sz w:val="17"/>
              </w:rPr>
              <w:t>3</w:t>
            </w:r>
          </w:p>
        </w:tc>
        <w:tc>
          <w:tcPr>
            <w:tcW w:type="dxa" w:w="1428"/>
          </w:tcPr>
          <w:p>
            <w:pPr>
              <w:spacing w:line="240" w:lineRule="auto"/>
            </w:pPr>
            <w:r/>
            <w:r>
              <w:rPr>
                <w:sz w:val="17"/>
              </w:rPr>
              <w:t>fold_mlh1_pms2.model_0.pdb</w:t>
            </w:r>
          </w:p>
        </w:tc>
        <w:tc>
          <w:tcPr>
            <w:tcW w:type="dxa" w:w="1428"/>
          </w:tcPr>
          <w:p>
            <w:pPr>
              <w:spacing w:line="240" w:lineRule="auto"/>
            </w:pPr>
            <w:r/>
            <w:r>
              <w:rPr>
                <w:sz w:val="17"/>
              </w:rPr>
              <w:t>AlphaFold</w:t>
            </w:r>
          </w:p>
        </w:tc>
      </w:tr>
      <w:tr>
        <w:tc>
          <w:tcPr>
            <w:tcW w:type="dxa" w:w="1428"/>
          </w:tcPr>
          <w:p>
            <w:pPr>
              <w:spacing w:line="240" w:lineRule="auto"/>
            </w:pPr>
            <w:r/>
            <w:r>
              <w:rPr>
                <w:sz w:val="17"/>
              </w:rPr>
              <w:t>MSH2-MSH6 heterodimer</w:t>
            </w:r>
          </w:p>
        </w:tc>
        <w:tc>
          <w:tcPr>
            <w:tcW w:type="dxa" w:w="1428"/>
          </w:tcPr>
          <w:p>
            <w:pPr>
              <w:spacing w:line="240" w:lineRule="auto"/>
            </w:pPr>
            <w:r/>
            <w:r>
              <w:rPr>
                <w:sz w:val="17"/>
              </w:rPr>
              <w:t>MSH2</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3</w:t>
            </w:r>
          </w:p>
        </w:tc>
        <w:tc>
          <w:tcPr>
            <w:tcW w:type="dxa" w:w="1428"/>
          </w:tcPr>
          <w:p>
            <w:pPr>
              <w:spacing w:line="240" w:lineRule="auto"/>
            </w:pPr>
            <w:r/>
            <w:r>
              <w:rPr>
                <w:sz w:val="17"/>
              </w:rPr>
              <w:t>fold_msh2_msh6_model_0.pdb</w:t>
            </w:r>
          </w:p>
        </w:tc>
        <w:tc>
          <w:tcPr>
            <w:tcW w:type="dxa" w:w="1428"/>
          </w:tcPr>
          <w:p>
            <w:pPr>
              <w:spacing w:line="240" w:lineRule="auto"/>
            </w:pPr>
            <w:r/>
            <w:r>
              <w:rPr>
                <w:sz w:val="17"/>
              </w:rPr>
              <w:t>AlphaFold</w:t>
            </w:r>
          </w:p>
        </w:tc>
      </w:tr>
      <w:tr>
        <w:tc>
          <w:tcPr>
            <w:tcW w:type="dxa" w:w="1428"/>
          </w:tcPr>
          <w:p>
            <w:pPr>
              <w:spacing w:line="240" w:lineRule="auto"/>
            </w:pPr>
            <w:r/>
            <w:r>
              <w:rPr>
                <w:sz w:val="17"/>
              </w:rPr>
              <w:t>PI3K p110alpha-p85alpha</w:t>
            </w:r>
          </w:p>
        </w:tc>
        <w:tc>
          <w:tcPr>
            <w:tcW w:type="dxa" w:w="1428"/>
          </w:tcPr>
          <w:p>
            <w:pPr>
              <w:spacing w:line="240" w:lineRule="auto"/>
            </w:pPr>
            <w:r/>
            <w:r>
              <w:rPr>
                <w:sz w:val="17"/>
              </w:rPr>
              <w:t>PIK3CA/PIK3R1</w:t>
            </w:r>
          </w:p>
        </w:tc>
        <w:tc>
          <w:tcPr>
            <w:tcW w:type="dxa" w:w="1428"/>
          </w:tcPr>
          <w:p>
            <w:pPr>
              <w:spacing w:line="240" w:lineRule="auto"/>
            </w:pPr>
            <w:r/>
            <w:r>
              <w:rPr>
                <w:sz w:val="17"/>
              </w:rPr>
              <w:t>5</w:t>
            </w:r>
          </w:p>
        </w:tc>
        <w:tc>
          <w:tcPr>
            <w:tcW w:type="dxa" w:w="1428"/>
          </w:tcPr>
          <w:p>
            <w:pPr>
              <w:spacing w:line="240" w:lineRule="auto"/>
            </w:pPr>
            <w:r/>
            <w:r>
              <w:rPr>
                <w:sz w:val="17"/>
              </w:rPr>
              <w:t>5</w:t>
            </w:r>
          </w:p>
        </w:tc>
        <w:tc>
          <w:tcPr>
            <w:tcW w:type="dxa" w:w="1428"/>
          </w:tcPr>
          <w:p>
            <w:pPr>
              <w:spacing w:line="240" w:lineRule="auto"/>
            </w:pPr>
            <w:r/>
            <w:r>
              <w:rPr>
                <w:sz w:val="17"/>
              </w:rPr>
              <w:t>4</w:t>
            </w:r>
          </w:p>
        </w:tc>
        <w:tc>
          <w:tcPr>
            <w:tcW w:type="dxa" w:w="1428"/>
          </w:tcPr>
          <w:p>
            <w:pPr>
              <w:spacing w:line="240" w:lineRule="auto"/>
            </w:pPr>
            <w:r/>
            <w:r>
              <w:rPr>
                <w:sz w:val="17"/>
              </w:rPr>
              <w:t>fold_pik3ca_pik3r1_model_0.pdb</w:t>
            </w:r>
          </w:p>
        </w:tc>
        <w:tc>
          <w:tcPr>
            <w:tcW w:type="dxa" w:w="1428"/>
          </w:tcPr>
          <w:p>
            <w:pPr>
              <w:spacing w:line="240" w:lineRule="auto"/>
            </w:pPr>
            <w:r/>
            <w:r>
              <w:rPr>
                <w:sz w:val="17"/>
              </w:rPr>
              <w:t>AlphaFold</w:t>
            </w:r>
          </w:p>
        </w:tc>
      </w:tr>
      <w:tr>
        <w:tc>
          <w:tcPr>
            <w:tcW w:type="dxa" w:w="1428"/>
          </w:tcPr>
          <w:p>
            <w:pPr>
              <w:spacing w:line="240" w:lineRule="auto"/>
            </w:pPr>
            <w:r/>
            <w:r>
              <w:rPr>
                <w:sz w:val="17"/>
              </w:rPr>
              <w:t>SMAD4-SMAD3 MH2 complex</w:t>
            </w:r>
          </w:p>
        </w:tc>
        <w:tc>
          <w:tcPr>
            <w:tcW w:type="dxa" w:w="1428"/>
          </w:tcPr>
          <w:p>
            <w:pPr>
              <w:spacing w:line="240" w:lineRule="auto"/>
            </w:pPr>
            <w:r/>
            <w:r>
              <w:rPr>
                <w:sz w:val="17"/>
              </w:rPr>
              <w:t>SMAD4</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4</w:t>
            </w:r>
          </w:p>
        </w:tc>
        <w:tc>
          <w:tcPr>
            <w:tcW w:type="dxa" w:w="1428"/>
          </w:tcPr>
          <w:p>
            <w:pPr>
              <w:spacing w:line="240" w:lineRule="auto"/>
            </w:pPr>
            <w:r/>
            <w:r>
              <w:rPr>
                <w:sz w:val="17"/>
              </w:rPr>
              <w:t>fold_smad4_smad3_model_0.pdb</w:t>
            </w:r>
          </w:p>
        </w:tc>
        <w:tc>
          <w:tcPr>
            <w:tcW w:type="dxa" w:w="1428"/>
          </w:tcPr>
          <w:p>
            <w:pPr>
              <w:spacing w:line="240" w:lineRule="auto"/>
            </w:pPr>
            <w:r/>
            <w:r>
              <w:rPr>
                <w:sz w:val="17"/>
              </w:rPr>
              <w:t>AlphaFold</w:t>
            </w:r>
          </w:p>
        </w:tc>
      </w:tr>
      <w:tr>
        <w:tc>
          <w:tcPr>
            <w:tcW w:type="dxa" w:w="1428"/>
          </w:tcPr>
          <w:p>
            <w:pPr>
              <w:spacing w:line="240" w:lineRule="auto"/>
            </w:pPr>
            <w:r/>
            <w:r>
              <w:rPr>
                <w:sz w:val="17"/>
              </w:rPr>
              <w:t>Troponin I-troponin C</w:t>
            </w:r>
          </w:p>
        </w:tc>
        <w:tc>
          <w:tcPr>
            <w:tcW w:type="dxa" w:w="1428"/>
          </w:tcPr>
          <w:p>
            <w:pPr>
              <w:spacing w:line="240" w:lineRule="auto"/>
            </w:pPr>
            <w:r/>
            <w:r>
              <w:rPr>
                <w:sz w:val="17"/>
              </w:rPr>
              <w:t>TNNI3</w:t>
            </w:r>
          </w:p>
        </w:tc>
        <w:tc>
          <w:tcPr>
            <w:tcW w:type="dxa" w:w="1428"/>
          </w:tcPr>
          <w:p>
            <w:pPr>
              <w:spacing w:line="240" w:lineRule="auto"/>
            </w:pPr>
            <w:r/>
            <w:r>
              <w:rPr>
                <w:sz w:val="17"/>
              </w:rPr>
              <w:t>4</w:t>
            </w:r>
          </w:p>
        </w:tc>
        <w:tc>
          <w:tcPr>
            <w:tcW w:type="dxa" w:w="1428"/>
          </w:tcPr>
          <w:p>
            <w:pPr>
              <w:spacing w:line="240" w:lineRule="auto"/>
            </w:pPr>
            <w:r/>
            <w:r>
              <w:rPr>
                <w:sz w:val="17"/>
              </w:rPr>
              <w:t>3</w:t>
            </w:r>
          </w:p>
        </w:tc>
        <w:tc>
          <w:tcPr>
            <w:tcW w:type="dxa" w:w="1428"/>
          </w:tcPr>
          <w:p>
            <w:pPr>
              <w:spacing w:line="240" w:lineRule="auto"/>
            </w:pPr>
            <w:r/>
            <w:r>
              <w:rPr>
                <w:sz w:val="17"/>
              </w:rPr>
              <w:t>3</w:t>
            </w:r>
          </w:p>
        </w:tc>
        <w:tc>
          <w:tcPr>
            <w:tcW w:type="dxa" w:w="1428"/>
          </w:tcPr>
          <w:p>
            <w:pPr>
              <w:spacing w:line="240" w:lineRule="auto"/>
            </w:pPr>
            <w:r/>
            <w:r>
              <w:rPr>
                <w:sz w:val="17"/>
              </w:rPr>
              <w:t>fold_tnni3_tnnc1_model_0.pdb</w:t>
            </w:r>
          </w:p>
        </w:tc>
        <w:tc>
          <w:tcPr>
            <w:tcW w:type="dxa" w:w="1428"/>
          </w:tcPr>
          <w:p>
            <w:pPr>
              <w:spacing w:line="240" w:lineRule="auto"/>
            </w:pPr>
            <w:r/>
            <w:r>
              <w:rPr>
                <w:sz w:val="17"/>
              </w:rPr>
              <w:t>AlphaFold</w:t>
            </w:r>
          </w:p>
        </w:tc>
      </w:tr>
      <w:tr>
        <w:tc>
          <w:tcPr>
            <w:tcW w:type="dxa" w:w="1428"/>
          </w:tcPr>
          <w:p>
            <w:pPr>
              <w:spacing w:line="240" w:lineRule="auto"/>
            </w:pPr>
            <w:r/>
            <w:r>
              <w:rPr>
                <w:sz w:val="17"/>
              </w:rPr>
              <w:t>VHL-elongin C</w:t>
            </w:r>
          </w:p>
        </w:tc>
        <w:tc>
          <w:tcPr>
            <w:tcW w:type="dxa" w:w="1428"/>
          </w:tcPr>
          <w:p>
            <w:pPr>
              <w:spacing w:line="240" w:lineRule="auto"/>
            </w:pPr>
            <w:r/>
            <w:r>
              <w:rPr>
                <w:sz w:val="17"/>
              </w:rPr>
              <w:t>VHL</w:t>
            </w:r>
          </w:p>
        </w:tc>
        <w:tc>
          <w:tcPr>
            <w:tcW w:type="dxa" w:w="1428"/>
          </w:tcPr>
          <w:p>
            <w:pPr>
              <w:spacing w:line="240" w:lineRule="auto"/>
            </w:pPr>
            <w:r/>
            <w:r>
              <w:rPr>
                <w:sz w:val="17"/>
              </w:rPr>
              <w:t>3</w:t>
            </w:r>
          </w:p>
        </w:tc>
        <w:tc>
          <w:tcPr>
            <w:tcW w:type="dxa" w:w="1428"/>
          </w:tcPr>
          <w:p>
            <w:pPr>
              <w:spacing w:line="240" w:lineRule="auto"/>
            </w:pPr>
            <w:r/>
            <w:r>
              <w:rPr>
                <w:sz w:val="17"/>
              </w:rPr>
              <w:t>2</w:t>
            </w:r>
          </w:p>
        </w:tc>
        <w:tc>
          <w:tcPr>
            <w:tcW w:type="dxa" w:w="1428"/>
          </w:tcPr>
          <w:p>
            <w:pPr>
              <w:spacing w:line="240" w:lineRule="auto"/>
            </w:pPr>
            <w:r/>
            <w:r>
              <w:rPr>
                <w:sz w:val="17"/>
              </w:rPr>
              <w:t>3</w:t>
            </w:r>
          </w:p>
        </w:tc>
        <w:tc>
          <w:tcPr>
            <w:tcW w:type="dxa" w:w="1428"/>
          </w:tcPr>
          <w:p>
            <w:pPr>
              <w:spacing w:line="240" w:lineRule="auto"/>
            </w:pPr>
            <w:r/>
            <w:r>
              <w:rPr>
                <w:sz w:val="17"/>
              </w:rPr>
              <w:t>fold_vhl_tceb1_model_0.pdb</w:t>
            </w:r>
          </w:p>
        </w:tc>
        <w:tc>
          <w:tcPr>
            <w:tcW w:type="dxa" w:w="1428"/>
          </w:tcPr>
          <w:p>
            <w:pPr>
              <w:spacing w:line="240" w:lineRule="auto"/>
            </w:pPr>
            <w:r/>
            <w:r>
              <w:rPr>
                <w:sz w:val="17"/>
              </w:rPr>
              <w:t>AlphaFold</w:t>
            </w:r>
          </w:p>
        </w:tc>
      </w:tr>
      <w:tr>
        <w:tc>
          <w:tcPr>
            <w:tcW w:type="dxa" w:w="1428"/>
          </w:tcPr>
          <w:p>
            <w:pPr>
              <w:spacing w:line="240" w:lineRule="auto"/>
            </w:pPr>
            <w:r/>
            <w:r>
              <w:rPr>
                <w:sz w:val="17"/>
              </w:rPr>
              <w:t>VWF A1-GPIb alpha</w:t>
            </w:r>
          </w:p>
        </w:tc>
        <w:tc>
          <w:tcPr>
            <w:tcW w:type="dxa" w:w="1428"/>
          </w:tcPr>
          <w:p>
            <w:pPr>
              <w:spacing w:line="240" w:lineRule="auto"/>
            </w:pPr>
            <w:r/>
            <w:r>
              <w:rPr>
                <w:sz w:val="17"/>
              </w:rPr>
              <w:t>VWF</w:t>
            </w:r>
          </w:p>
        </w:tc>
        <w:tc>
          <w:tcPr>
            <w:tcW w:type="dxa" w:w="1428"/>
          </w:tcPr>
          <w:p>
            <w:pPr>
              <w:spacing w:line="240" w:lineRule="auto"/>
            </w:pPr>
            <w:r/>
            <w:r>
              <w:rPr>
                <w:sz w:val="17"/>
              </w:rPr>
              <w:t>2</w:t>
            </w:r>
          </w:p>
        </w:tc>
        <w:tc>
          <w:tcPr>
            <w:tcW w:type="dxa" w:w="1428"/>
          </w:tcPr>
          <w:p>
            <w:pPr>
              <w:spacing w:line="240" w:lineRule="auto"/>
            </w:pPr>
            <w:r/>
            <w:r>
              <w:rPr>
                <w:sz w:val="17"/>
              </w:rPr>
              <w:t>2</w:t>
            </w:r>
          </w:p>
        </w:tc>
        <w:tc>
          <w:tcPr>
            <w:tcW w:type="dxa" w:w="1428"/>
          </w:tcPr>
          <w:p>
            <w:pPr>
              <w:spacing w:line="240" w:lineRule="auto"/>
            </w:pPr>
            <w:r/>
            <w:r>
              <w:rPr>
                <w:sz w:val="17"/>
              </w:rPr>
              <w:t>0</w:t>
            </w:r>
          </w:p>
        </w:tc>
        <w:tc>
          <w:tcPr>
            <w:tcW w:type="dxa" w:w="1428"/>
          </w:tcPr>
          <w:p>
            <w:pPr>
              <w:spacing w:line="240" w:lineRule="auto"/>
            </w:pPr>
            <w:r/>
            <w:r>
              <w:rPr>
                <w:sz w:val="17"/>
              </w:rPr>
              <w:t>1SQ0.pdb</w:t>
            </w:r>
          </w:p>
        </w:tc>
        <w:tc>
          <w:tcPr>
            <w:tcW w:type="dxa" w:w="1428"/>
          </w:tcPr>
          <w:p>
            <w:pPr>
              <w:spacing w:line="240" w:lineRule="auto"/>
            </w:pPr>
            <w:r/>
            <w:r>
              <w:rPr>
                <w:sz w:val="17"/>
              </w:rPr>
              <w:t>Experimental</w:t>
            </w:r>
          </w:p>
        </w:tc>
      </w:tr>
    </w:tbl>
    <w:p ns2:paraId="1B598473" ns2:textId="4A96BC68" w:rsidR="00C5019D" w:rsidRPr="00F45AEA" w:rsidRDefault="00000000">
      <w:r>
        <w:t>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 (benchmark_variants sheet).</w:t>
      </w:r>
    </w:p>
    <w:p ns2:paraId="543B0233" ns2:textId="77777777" w:rsidR="005150BE" w:rsidRDefault="00000000">
      <w:r>
        <w:rPr>
          <w:rFonts w:ascii="Arial" w:eastAsia="Arial" w:hAnsi="Arial"/>
        </w:rPr>
        <w:t>Primary literature defined the expected direction of each applicable energy calculation before COMAVI results were considered. Evidence was classified into five categories by what the source measured, referred to below and in the supplement as E1 to E5. E1, quantitative energetic, is a reported thermodynamic or kinetic quantity for the substitution itself - a melting temperature shift, an unfolding free energy, or a dissociation constant. E2, quantitative functional, is a numerical assay readout that stands in for one of those quantities, such as a deep-mutational-scanning abundance or interaction score. E3, qualitative experimental, is a direct experimental observation reported without a number, such as loss of co-immunoprecipitation. E4, population frequency, is inference from allele frequency or constraint with no assay on the variant. E5, inferred, is an expectation carried by the mechanism of the domain rather than by any measurement of that axis. The ledger records the class, the one-line basis and the citation for all 98 committed axes (S3 Table).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S1 Table (evidence_composition sheet) gives the definitions and counts.</w:t>
      </w:r>
      <w:commentRangeStart w:id="5"/>
      <w:r>
        <w:rPr>
          <w:rFonts w:ascii="Arial" w:eastAsia="Arial" w:hAnsi="Arial"/>
        </w:rPr>
      </w:r>
      <w:commentRangeEnd w:id="5"/>
      <w:r w:rsidR="00F45AEA">
        <w:rPr>
          <w:rStyle w:val="CommentReference"/>
          <w:rFonts w:ascii="Arial" w:eastAsia="Arial" w:hAnsi="Arial"/>
          <w:sz w:val="21"/>
          <w:szCs w:val="22"/>
        </w:rPr>
      </w:r>
      <w:r>
        <w:rPr>
          <w:rFonts w:ascii="Arial" w:eastAsia="Arial" w:hAnsi="Arial"/>
        </w:rPr>
      </w:r>
    </w:p>
    <w:p ns2:paraId="76D030DF" ns2:textId="77777777" w:rsidR="005150BE" w:rsidRDefault="00000000">
      <w:commentRangeStart w:id="6"/>
      <w:commentRangeStart w:id="7"/>
      <w:r>
        <w:rPr>
          <w:rFonts w:ascii="Arial" w:eastAsia="Arial" w:hAnsi="Arial"/>
        </w:rPr>
        <w:t>Which evidence class an expectation carries depends on what it asserts, because of how the literature is generated: a disruptive effect attracts a dedicated biophysical measurement far more often than a normal one does. The ledger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S1 Text. These sensitivity analyses did not fit evidence weights or retune tier boundaries. Population-supported and inferred neutral expectations were reported as such, not as measured neutrality.</w:t>
      </w:r>
      <w:commentRangeEnd w:id="6"/>
      <w:r w:rsidR="007352F9">
        <w:rPr>
          <w:rStyle w:val="CommentReference"/>
          <w:rFonts w:ascii="Arial" w:eastAsia="Arial" w:hAnsi="Arial"/>
          <w:sz w:val="21"/>
          <w:szCs w:val="22"/>
        </w:rPr>
      </w:r>
      <w:commentRangeEnd w:id="7"/>
      <w:r w:rsidR="00F45AEA">
        <w:rPr>
          <w:rStyle w:val="CommentReference"/>
          <w:rFonts w:ascii="Arial" w:eastAsia="Arial" w:hAnsi="Arial"/>
          <w:sz w:val="21"/>
          <w:szCs w:val="22"/>
        </w:rPr>
      </w:r>
      <w:r>
        <w:rPr>
          <w:rFonts w:ascii="Arial" w:eastAsia="Arial" w:hAnsi="Arial"/>
        </w:rPr>
      </w:r>
      <w:commentRangeStart w:id="8"/>
      <w:commentRangeStart w:id="9"/>
      <w:r>
        <w:rPr>
          <w:rFonts w:ascii="Arial" w:eastAsia="Arial" w:hAnsi="Arial"/>
        </w:rPr>
      </w:r>
      <w:commentRangeEnd w:id="8"/>
      <w:r w:rsidR="00B96F2B">
        <w:rPr>
          <w:rStyle w:val="CommentReference"/>
          <w:rFonts w:ascii="Arial" w:eastAsia="Arial" w:hAnsi="Arial"/>
          <w:sz w:val="21"/>
          <w:szCs w:val="22"/>
        </w:rPr>
      </w:r>
      <w:commentRangeEnd w:id="9"/>
      <w:r w:rsidR="00F45AEA">
        <w:rPr>
          <w:rStyle w:val="CommentReference"/>
          <w:rFonts w:ascii="Arial" w:eastAsia="Arial" w:hAnsi="Arial"/>
          <w:sz w:val="21"/>
          <w:szCs w:val="22"/>
        </w:rPr>
      </w:r>
      <w:r>
        <w:rPr>
          <w:rFonts w:ascii="Arial" w:eastAsia="Arial" w:hAnsi="Arial"/>
        </w:rPr>
      </w:r>
    </w:p>
    <w:p ns2:paraId="2BEFCCC1" ns2:textId="77777777" w:rsidR="005150BE" w:rsidRDefault="00000000">
      <w:pPr>
        <w:pStyle w:val="Heading3"/>
      </w:pPr>
      <w:r>
        <w:t>2.2.1 Model scope: can the supplied structure represent the mechanism?</w:t>
      </w:r>
    </w:p>
    <w:p ns2:paraId="298ED7C4" ns2:textId="47CE0CBC" w:rsidR="005150BE" w:rsidRDefault="00000000">
      <w:r>
        <w:t>Before scoring known mechanism</w:t>
      </w:r>
      <w:r w:rsidR="007352F9">
        <w:t>s</w:t>
      </w:r>
      <w:r>
        <w:t xml:space="preserve">,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lastRenderedPageBreak/>
        <w:t>does not infer a literature-grounded mechanism or model-scope class. S1 Table (model_scope sheet) gives the framework.</w:t>
      </w:r>
    </w:p>
    <w:p ns2:paraId="67F830E6"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3778D853" ns2:textId="77777777" w:rsidR="005150BE" w:rsidRDefault="00000000">
      <w:pPr>
        <w:pStyle w:val="Heading2"/>
      </w:pPr>
      <w:r>
        <w:t>2.3 Structures and energy calculations</w:t>
      </w:r>
    </w:p>
    <w:p ns2:paraId="320FA9CA"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S1 Table (model_scope sheet) states the eligibility rules and the mechanisms they exclude. Complex structures were predicted with the AlphaFold 3 server [4]. Experimental structures replaced predicted models when the relevant site or interface lacked adequate confidence: 2HHB for hemoglobin, 6XI7 for KRAS-RAF1, and 1JM7 for BRCA1-BARD1. The BRCA1 tandem-BRCT monomer panel used 1JNX. All energy calculations used FoldX 5.1 [44] with default energy-function parameters. Each structure was repaired once with RepairPDB and reused across variants.</w:t>
      </w:r>
    </w:p>
    <w:p ns2:paraId="1DF188B8" ns2:textId="19E1061B" w:rsidR="005150BE" w:rsidRDefault="00000000">
      <w:r>
        <w:t xml:space="preserve">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w:t>
      </w:r>
      <w:r w:rsidR="001141A1">
        <w:t>complete</w:t>
      </w:r>
      <w:r>
        <w:t xml:space="preserve"> commands and implementation details.</w:t>
      </w:r>
    </w:p>
    <w:p ns2:paraId="5616C89E" ns2:textId="77777777" w:rsidR="005150BE" w:rsidRDefault="00000000">
      <w:r>
        <w:t>BuildModel and AnalyzeComplex measure different things.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r/>
    </w:p>
    <w:p ns2:paraId="431B4411" ns2:textId="77777777" w:rsidR="005150BE" w:rsidRDefault="00000000">
      <w:pPr>
        <w:pStyle w:val="Heading2"/>
      </w:pPr>
      <w:r>
        <w:t>2.4 Structural confidence and usable outputs</w:t>
      </w:r>
    </w:p>
    <w:p ns2:paraId="080F24E2"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4806AA5F" ns2:textId="77777777" w:rsidR="005150BE" w:rsidRDefault="00000000">
      <w:pPr>
        <w:pStyle w:val="Heading2"/>
      </w:pPr>
      <w:r>
        <w:t>2.5 Structural-context tier and priority score</w:t>
      </w:r>
    </w:p>
    <w:p ns2:paraId="42C2E829" ns2:textId="77777777" w:rsidR="005150BE" w:rsidRDefault="00000000">
      <w:r>
        <w:rPr>
          <w:rFonts w:ascii="Arial" w:eastAsia="Arial" w:hAnsi="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ns2:paraId="4A514B14"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S2 Text, S3 Fig, and the within-system tests report these comparisons.</w:t>
      </w:r>
    </w:p>
    <w:p ns2:paraId="2BBA2478"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1F15E025" ns2:textId="77777777" w:rsidR="005150BE" w:rsidRDefault="00000000">
      <w:r>
        <w:rPr>
          <w:rFonts w:ascii="Arial" w:eastAsia="Arial" w:hAnsi="Arial"/>
        </w:rPr>
        <w:t>For each usable energetic calculation j, COMAVI divides |ΔΔG_j| by a fixed reference value τ_j: 2.9 kcal/mol for isolated-subunit and assembled-complex stability and 3.5 kcal/mol for binding. These are the same numbers as the prediction-interval bound defined in Section 2.6, because both are taken from the same published FoldX prediction intervals. Here they do a different job: τ_j is a divisor that puts three axes measured on different energy scales onto one comparable scale, not a cut-off. A calculation below τ_j contributes a ratio smaller than one rather than nothing, so the priority score stays continuous and excludes no variant. The largest ratio, R, represents the strongest reliable energetic signal without adding correlated isolated and assembled stability effects.</w:t>
      </w:r>
    </w:p>
    <w:p ns2:paraId="2544A909" ns2:textId="77777777" w:rsidR="005150BE" w:rsidRDefault="00000000">
      <w:pPr>
        <w:keepNext/>
        <w:spacing w:before="60" w:after="60"/>
        <w:jc w:val="center"/>
      </w:pPr>
      <w:r>
        <w:rPr>
          <w:rFonts w:ascii="Cambria Math" w:eastAsia="Cambria Math" w:hAnsi="Cambria Math"/>
          <w:b/>
          <w:sz w:val="23"/>
        </w:rPr>
        <w:t>R = max_j (|ΔΔG_j| / τ_j)</w:t>
      </w:r>
    </w:p>
    <w:p ns2:paraId="56157D95" ns2:textId="77777777" w:rsidR="005150BE" w:rsidRDefault="00000000">
      <w:r>
        <w:rPr>
          <w:rFonts w:ascii="Arial" w:eastAsia="Arial" w:hAnsi="Arial"/>
        </w:rPr>
        <w:t>COMAVI softly compresses R so that one extreme FoldX prediction cannot dominate the ranking.</w:t>
      </w:r>
    </w:p>
    <w:p ns2:paraId="117FA9A1" ns2:textId="77777777" w:rsidR="005150BE" w:rsidRDefault="00000000">
      <w:pPr>
        <w:keepNext/>
        <w:spacing w:before="60" w:after="60"/>
        <w:jc w:val="center"/>
      </w:pPr>
      <w:r>
        <w:rPr>
          <w:rFonts w:ascii="Cambria Math" w:eastAsia="Cambria Math" w:hAnsi="Cambria Math"/>
          <w:b/>
          <w:sz w:val="23"/>
        </w:rPr>
        <w:t>E = R / (1 + R)</w:t>
      </w:r>
    </w:p>
    <w:p ns2:paraId="699B3990" ns2:textId="77777777" w:rsidR="005150BE" w:rsidRDefault="00000000">
      <w:r>
        <w:rPr>
          <w:rFonts w:ascii="Arial" w:eastAsia="Arial" w:hAnsi="Arial"/>
        </w:rPr>
        <w:t>The tier number T is converted to a context component C, mapping Tiers 1-4 to 1.000, 0.667, 0.333, and 0.</w:t>
      </w:r>
    </w:p>
    <w:p ns2:paraId="02FC2C5F" ns2:textId="77777777" w:rsidR="005150BE" w:rsidRDefault="00000000">
      <w:pPr>
        <w:keepNext/>
        <w:spacing w:before="60" w:after="60"/>
        <w:jc w:val="center"/>
      </w:pPr>
      <w:r>
        <w:rPr>
          <w:rFonts w:ascii="Cambria Math" w:eastAsia="Cambria Math" w:hAnsi="Cambria Math"/>
          <w:b/>
          <w:sz w:val="23"/>
        </w:rPr>
        <w:t>C = (4 - T) / 3</w:t>
      </w:r>
    </w:p>
    <w:p ns2:paraId="1F3EF0EF" ns2:textId="77777777" w:rsidR="005150BE" w:rsidRDefault="00000000">
      <w:pPr>
        <w:keepNext/>
        <w:spacing w:before="60" w:after="60"/>
        <w:jc w:val="center"/>
      </w:pPr>
      <w:r>
        <w:rPr>
          <w:rFonts w:ascii="Cambria Math" w:eastAsia="Cambria Math" w:hAnsi="Cambria Math"/>
          <w:b/>
          <w:sz w:val="23"/>
        </w:rPr>
        <w:t>ISDS-v1 = (E + C) / 2</w:t>
      </w:r>
    </w:p>
    <w:p ns2:paraId="4CADD20C"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360034E" ns2:textId="77777777" w:rsidR="005150BE" w:rsidRDefault="00000000">
      <w:pPr>
        <w:pStyle w:val="Heading2"/>
      </w:pPr>
      <w:r>
        <w:t>2.6 Energy thresholds and descriptive evidence states</w:t>
      </w:r>
    </w:p>
    <w:p ns2:paraId="556BA538"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a per-axis prediction-interval bound. That bound is not a single number: it takes the upper bound of the 95% prediction interval that Sapozhnikov and colleagues fitted to FoldX folding and binding predictions, separately for each axis [45] - 2.9 kcal/mol for isolated-subunit stability, 2.9 for assembled-complex stability, and 3.5 for binding. It is therefore the most conservative point in the set: a call survives it only if the predicted effect exceeds what prediction error alone could produce. The released software uses 1.0 kcal/mol as a screening-oriented default. We use 2.5 kcal/mol as the frozen benchmark reference and the prediction-interval bound as the most conservative point evaluated. None is universally optimal.</w:t>
      </w:r>
      <w:commentRangeStart w:id="10"/>
      <w:r>
        <w:rPr>
          <w:rFonts w:ascii="Arial" w:eastAsia="Arial" w:hAnsi="Arial"/>
        </w:rPr>
      </w:r>
      <w:commentRangeEnd w:id="10"/>
      <w:r w:rsidR="008B6CF6">
        <w:rPr>
          <w:rStyle w:val="CommentReference"/>
          <w:rFonts w:ascii="Arial" w:eastAsia="Arial" w:hAnsi="Arial"/>
          <w:sz w:val="21"/>
          <w:szCs w:val="22"/>
        </w:rPr>
      </w:r>
      <w:r>
        <w:rPr>
          <w:rFonts w:ascii="Arial" w:eastAsia="Arial" w:hAnsi="Arial"/>
        </w:rPr>
      </w:r>
      <w:r>
        <w:rPr>
          <w:rFonts w:ascii="Arial" w:eastAsia="Arial" w:hAnsi="Arial"/>
        </w:rPr>
      </w:r>
      <w:commentRangeStart w:id="11"/>
      <w:r>
        <w:rPr>
          <w:rFonts w:ascii="Arial" w:eastAsia="Arial" w:hAnsi="Arial"/>
        </w:rPr>
      </w:r>
      <w:commentRangeEnd w:id="11"/>
      <w:r w:rsidR="008B6CF6">
        <w:rPr>
          <w:rStyle w:val="CommentReference"/>
          <w:rFonts w:ascii="Arial" w:eastAsia="Arial" w:hAnsi="Arial"/>
          <w:sz w:val="21"/>
          <w:szCs w:val="22"/>
        </w:rPr>
      </w:r>
      <w:r>
        <w:rPr>
          <w:rFonts w:ascii="Arial" w:eastAsia="Arial" w:hAnsi="Arial"/>
        </w:rPr>
      </w:r>
    </w:p>
    <w:p ns2:paraId="1DAE460A" ns2:textId="77777777" w:rsidR="005150BE" w:rsidRPr="00B96F2B" w:rsidRDefault="00000000">
      <w:pPr>
        <w:rPr>
          <w:rFonts w:ascii="Arial" w:hAnsi="Arial" w:cs="Arial"/>
        </w:rPr>
      </w:pPr>
      <w:r w:rsidRPr="00B96F2B">
        <w:rPr>
          <w:rFonts w:ascii="Arial" w:hAnsi="Arial" w:cs="Arial"/>
        </w:rP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41C1A84D" ns2:textId="77777777" w:rsidR="005150BE" w:rsidRPr="00B96F2B" w:rsidRDefault="00000000">
      <w:pPr>
        <w:rPr>
          <w:rFonts w:ascii="Arial" w:hAnsi="Arial" w:cs="Arial"/>
        </w:rPr>
      </w:pPr>
      <w:commentRangeStart w:id="12"/>
      <w:r w:rsidRPr="00B96F2B">
        <w:rPr>
          <w:rFonts w:ascii="Arial" w:hAnsi="Arial" w:cs="Arial"/>
        </w:rPr>
        <w:t>We also combined energy calls and tier into four descriptive states - both positive, energy only, context only, or neither - to summarize evidence patterns without redefining the physical mechanism. Definitions and the full state tables are in S2 Text.</w:t>
      </w:r>
      <w:commentRangeEnd w:id="12"/>
      <w:r w:rsidR="008B6CF6" w:rsidRPr="00B96F2B">
        <w:rPr>
          <w:rStyle w:val="CommentReference"/>
          <w:rFonts w:ascii="Arial" w:hAnsi="Arial" w:cs="Arial"/>
          <w:sz w:val="21"/>
          <w:szCs w:val="22"/>
        </w:rPr>
      </w:r>
    </w:p>
    <w:p ns2:paraId="3D62746E" ns2:textId="77777777" w:rsidR="005150BE" w:rsidRDefault="00000000">
      <w:pPr>
        <w:pStyle w:val="Heading2"/>
      </w:pPr>
      <w:r>
        <w:t>2.7 Benchmark outcomes and statistical analysis</w:t>
      </w:r>
    </w:p>
    <w:p ns2:paraId="05196D5E" ns2:textId="77777777" w:rsidR="005150BE" w:rsidRDefault="00000000">
      <w:r>
        <w:rPr>
          <w:rFonts w:ascii="Arial" w:eastAsia="Arial" w:hAnsi="Arial"/>
        </w:rPr>
        <w:t>For each variant, we asked whether COMAVI recovered the expected combination of applicable structural effects. The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3B85549D" ns2:textId="77777777" w:rsidR="005150BE" w:rsidRDefault="00000000">
      <w:pPr>
        <w:pStyle w:val="Caption"/>
        <w:keepNext/>
      </w:pPr>
      <w:r>
        <w:lastRenderedPageBreak/>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2F6AE152" ns2:textId="77777777">
        <w:trPr>
          <w:cantSplit/>
          <w:tblHeader/>
          <w:jc w:val="center"/>
        </w:trPr>
        <w:tc>
          <w:tcPr>
            <w:tcW w:w="6192" w:type="dxa"/>
            <w:shd w:val="clear" w:color="auto" w:fill="17324D"/>
            <w:tcMar>
              <w:top w:w="60" w:type="dxa"/>
              <w:left w:w="70" w:type="dxa"/>
              <w:bottom w:w="60" w:type="dxa"/>
              <w:right w:w="70" w:type="dxa"/>
            </w:tcMar>
            <w:vAlign w:val="center"/>
          </w:tcPr>
          <w:p ns2:paraId="050BDDFC"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34FC2F2"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15F692D0" ns2:textId="77777777" w:rsidR="005150BE" w:rsidRDefault="00000000">
            <w:pPr>
              <w:spacing w:after="0" w:line="240" w:lineRule="auto"/>
            </w:pPr>
            <w:r>
              <w:rPr>
                <w:b/>
                <w:color w:val="FFFFFF"/>
                <w:sz w:val="15"/>
              </w:rPr>
              <w:t>Score</w:t>
            </w:r>
          </w:p>
        </w:tc>
      </w:tr>
      <w:tr w:rsidR="005150BE" ns2:paraId="45E8EEDB" ns2:textId="77777777">
        <w:trPr>
          <w:cantSplit/>
          <w:jc w:val="center"/>
        </w:trPr>
        <w:tc>
          <w:tcPr>
            <w:tcW w:w="6192" w:type="dxa"/>
            <w:tcMar>
              <w:top w:w="60" w:type="dxa"/>
              <w:left w:w="70" w:type="dxa"/>
              <w:bottom w:w="60" w:type="dxa"/>
              <w:right w:w="70" w:type="dxa"/>
            </w:tcMar>
            <w:vAlign w:val="center"/>
          </w:tcPr>
          <w:p ns2:paraId="3252E3A0"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30F34CFD" ns2:textId="77777777" w:rsidR="005150BE" w:rsidRDefault="00000000">
            <w:r>
              <w:rPr>
                <w:sz w:val="15"/>
              </w:rPr>
              <w:t>Not applicable</w:t>
            </w:r>
          </w:p>
        </w:tc>
        <w:tc>
          <w:tcPr>
            <w:tcW w:w="936" w:type="dxa"/>
            <w:tcMar>
              <w:top w:w="60" w:type="dxa"/>
              <w:left w:w="70" w:type="dxa"/>
              <w:bottom w:w="60" w:type="dxa"/>
              <w:right w:w="70" w:type="dxa"/>
            </w:tcMar>
            <w:vAlign w:val="center"/>
          </w:tcPr>
          <w:p ns2:paraId="00DD53EA" ns2:textId="77777777" w:rsidR="005150BE" w:rsidRDefault="00000000">
            <w:r>
              <w:rPr>
                <w:sz w:val="15"/>
              </w:rPr>
              <w:t>Excluded</w:t>
            </w:r>
          </w:p>
        </w:tc>
      </w:tr>
      <w:tr w:rsidR="005150BE" ns2:paraId="4A1697CF" ns2:textId="77777777">
        <w:trPr>
          <w:cantSplit/>
          <w:jc w:val="center"/>
        </w:trPr>
        <w:tc>
          <w:tcPr>
            <w:tcW w:w="6192" w:type="dxa"/>
            <w:shd w:val="clear" w:color="auto" w:fill="F7F9FB"/>
            <w:tcMar>
              <w:top w:w="60" w:type="dxa"/>
              <w:left w:w="70" w:type="dxa"/>
              <w:bottom w:w="60" w:type="dxa"/>
              <w:right w:w="70" w:type="dxa"/>
            </w:tcMar>
            <w:vAlign w:val="center"/>
          </w:tcPr>
          <w:p ns2:paraId="14201FE7"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2F74A5C7"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29089A5D" ns2:textId="77777777" w:rsidR="005150BE" w:rsidRDefault="00000000">
            <w:r>
              <w:rPr>
                <w:sz w:val="15"/>
              </w:rPr>
              <w:t>1.0</w:t>
            </w:r>
          </w:p>
        </w:tc>
      </w:tr>
      <w:tr w:rsidR="005150BE" ns2:paraId="260EBA18" ns2:textId="77777777">
        <w:trPr>
          <w:cantSplit/>
          <w:jc w:val="center"/>
        </w:trPr>
        <w:tc>
          <w:tcPr>
            <w:tcW w:w="6192" w:type="dxa"/>
            <w:tcMar>
              <w:top w:w="60" w:type="dxa"/>
              <w:left w:w="70" w:type="dxa"/>
              <w:bottom w:w="60" w:type="dxa"/>
              <w:right w:w="70" w:type="dxa"/>
            </w:tcMar>
            <w:vAlign w:val="center"/>
          </w:tcPr>
          <w:p ns2:paraId="5FCAB89D"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7F1945C2" ns2:textId="77777777" w:rsidR="005150BE" w:rsidRDefault="00000000">
            <w:r>
              <w:rPr>
                <w:sz w:val="15"/>
              </w:rPr>
              <w:t>Consistent</w:t>
            </w:r>
          </w:p>
        </w:tc>
        <w:tc>
          <w:tcPr>
            <w:tcW w:w="936" w:type="dxa"/>
            <w:tcMar>
              <w:top w:w="60" w:type="dxa"/>
              <w:left w:w="70" w:type="dxa"/>
              <w:bottom w:w="60" w:type="dxa"/>
              <w:right w:w="70" w:type="dxa"/>
            </w:tcMar>
            <w:vAlign w:val="center"/>
          </w:tcPr>
          <w:p ns2:paraId="079624CE" ns2:textId="77777777" w:rsidR="005150BE" w:rsidRDefault="00000000">
            <w:r>
              <w:rPr>
                <w:sz w:val="15"/>
              </w:rPr>
              <w:t>1.0</w:t>
            </w:r>
          </w:p>
        </w:tc>
      </w:tr>
      <w:tr w:rsidR="005150BE" ns2:paraId="5F125F6C" ns2:textId="77777777">
        <w:trPr>
          <w:cantSplit/>
          <w:jc w:val="center"/>
        </w:trPr>
        <w:tc>
          <w:tcPr>
            <w:tcW w:w="6192" w:type="dxa"/>
            <w:shd w:val="clear" w:color="auto" w:fill="F7F9FB"/>
            <w:tcMar>
              <w:top w:w="60" w:type="dxa"/>
              <w:left w:w="70" w:type="dxa"/>
              <w:bottom w:w="60" w:type="dxa"/>
              <w:right w:w="70" w:type="dxa"/>
            </w:tcMar>
            <w:vAlign w:val="center"/>
          </w:tcPr>
          <w:p ns2:paraId="1E05FA98"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666B64D2"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107B0B1" ns2:textId="77777777" w:rsidR="005150BE" w:rsidRDefault="00000000">
            <w:r>
              <w:rPr>
                <w:sz w:val="15"/>
              </w:rPr>
              <w:t>0.5</w:t>
            </w:r>
          </w:p>
        </w:tc>
      </w:tr>
      <w:tr w:rsidR="005150BE" ns2:paraId="5B31D75D" ns2:textId="77777777">
        <w:trPr>
          <w:cantSplit/>
          <w:jc w:val="center"/>
        </w:trPr>
        <w:tc>
          <w:tcPr>
            <w:tcW w:w="6192" w:type="dxa"/>
            <w:tcMar>
              <w:top w:w="60" w:type="dxa"/>
              <w:left w:w="70" w:type="dxa"/>
              <w:bottom w:w="60" w:type="dxa"/>
              <w:right w:w="70" w:type="dxa"/>
            </w:tcMar>
            <w:vAlign w:val="center"/>
          </w:tcPr>
          <w:p ns2:paraId="5EE3AC5E"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F586ED5" ns2:textId="77777777" w:rsidR="005150BE" w:rsidRDefault="00000000">
            <w:r>
              <w:rPr>
                <w:sz w:val="15"/>
              </w:rPr>
              <w:t>Partial</w:t>
            </w:r>
          </w:p>
        </w:tc>
        <w:tc>
          <w:tcPr>
            <w:tcW w:w="936" w:type="dxa"/>
            <w:tcMar>
              <w:top w:w="60" w:type="dxa"/>
              <w:left w:w="70" w:type="dxa"/>
              <w:bottom w:w="60" w:type="dxa"/>
              <w:right w:w="70" w:type="dxa"/>
            </w:tcMar>
            <w:vAlign w:val="center"/>
          </w:tcPr>
          <w:p ns2:paraId="5EA0D5AB" ns2:textId="77777777" w:rsidR="005150BE" w:rsidRDefault="00000000">
            <w:r>
              <w:rPr>
                <w:sz w:val="15"/>
              </w:rPr>
              <w:t>0.5</w:t>
            </w:r>
          </w:p>
        </w:tc>
      </w:tr>
      <w:tr w:rsidR="005150BE" ns2:paraId="4EB8A9D2" ns2:textId="77777777">
        <w:trPr>
          <w:cantSplit/>
          <w:jc w:val="center"/>
        </w:trPr>
        <w:tc>
          <w:tcPr>
            <w:tcW w:w="6192" w:type="dxa"/>
            <w:shd w:val="clear" w:color="auto" w:fill="F7F9FB"/>
            <w:tcMar>
              <w:top w:w="60" w:type="dxa"/>
              <w:left w:w="70" w:type="dxa"/>
              <w:bottom w:w="60" w:type="dxa"/>
              <w:right w:w="70" w:type="dxa"/>
            </w:tcMar>
            <w:vAlign w:val="center"/>
          </w:tcPr>
          <w:p ns2:paraId="221FE740"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3CF73B45"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73A9A8AB" ns2:textId="77777777" w:rsidR="005150BE" w:rsidRDefault="00000000">
            <w:r>
              <w:rPr>
                <w:sz w:val="15"/>
              </w:rPr>
              <w:t>0.0</w:t>
            </w:r>
          </w:p>
        </w:tc>
      </w:tr>
      <w:tr w:rsidR="005150BE" ns2:paraId="348C430B" ns2:textId="77777777">
        <w:trPr>
          <w:cantSplit/>
          <w:jc w:val="center"/>
        </w:trPr>
        <w:tc>
          <w:tcPr>
            <w:tcW w:w="6192" w:type="dxa"/>
            <w:tcMar>
              <w:top w:w="60" w:type="dxa"/>
              <w:left w:w="70" w:type="dxa"/>
              <w:bottom w:w="60" w:type="dxa"/>
              <w:right w:w="70" w:type="dxa"/>
            </w:tcMar>
            <w:vAlign w:val="center"/>
          </w:tcPr>
          <w:p ns2:paraId="1D57C751"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4B8622BA" ns2:textId="77777777" w:rsidR="005150BE" w:rsidRDefault="00000000">
            <w:r>
              <w:rPr>
                <w:sz w:val="15"/>
              </w:rPr>
              <w:t>Inconsistent</w:t>
            </w:r>
          </w:p>
        </w:tc>
        <w:tc>
          <w:tcPr>
            <w:tcW w:w="936" w:type="dxa"/>
            <w:tcMar>
              <w:top w:w="60" w:type="dxa"/>
              <w:left w:w="70" w:type="dxa"/>
              <w:bottom w:w="60" w:type="dxa"/>
              <w:right w:w="70" w:type="dxa"/>
            </w:tcMar>
            <w:vAlign w:val="center"/>
          </w:tcPr>
          <w:p ns2:paraId="73EF0B2A" ns2:textId="77777777" w:rsidR="005150BE" w:rsidRDefault="00000000">
            <w:r>
              <w:rPr>
                <w:sz w:val="15"/>
              </w:rPr>
              <w:t>0.0</w:t>
            </w:r>
          </w:p>
        </w:tc>
      </w:tr>
    </w:tbl>
    <w:p ns2:paraId="03F4CF59" ns2:textId="77777777" w:rsidR="005150BE" w:rsidRPr="00474BDD" w:rsidRDefault="00000000">
      <w:pPr>
        <w:rPr>
          <w:rFonts w:ascii="Arial" w:hAnsi="Arial" w:cs="Arial"/>
        </w:rPr>
      </w:pPr>
      <w:r w:rsidRPr="00474BDD">
        <w:rPr>
          <w:rFonts w:ascii="Arial" w:hAnsi="Arial" w:cs="Arial"/>
        </w:rPr>
        <w:t>To identify which calculations contributed, we also counted direction agreement separately for isolated-subunit stability, assembled-complex stability, and binding. An axis agrees in direction when the call COMAVI makes on it matches the token the literature committed for that axis - destabilizing where destabilization is expected, neutral where no effect is expected - irrespective of how large the predicted energy is. Predicted-versus-measured analyses assessed rank correlation, scale compression, and the number of experimentally destabilizing effects recovered at each threshold. Continuity metrics and denominator audits are reported in S3 Text.</w:t>
      </w:r>
      <w:commentRangeStart w:id="13"/>
      <w:r w:rsidRPr="00474BDD">
        <w:rPr>
          <w:rFonts w:ascii="Arial" w:hAnsi="Arial" w:cs="Arial"/>
        </w:rPr>
      </w:r>
      <w:commentRangeEnd w:id="13"/>
      <w:r w:rsidR="00BA0E61" w:rsidRPr="00474BDD">
        <w:rPr>
          <w:rStyle w:val="CommentReference"/>
          <w:rFonts w:ascii="Arial" w:hAnsi="Arial" w:cs="Arial"/>
          <w:sz w:val="21"/>
          <w:szCs w:val="22"/>
        </w:rPr>
      </w:r>
      <w:r w:rsidRPr="00474BDD">
        <w:rPr>
          <w:rFonts w:ascii="Arial" w:hAnsi="Arial" w:cs="Arial"/>
        </w:rPr>
      </w:r>
    </w:p>
    <w:p ns2:paraId="61C32E58"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17D5DBD5" ns2:textId="77777777" w:rsidR="005150BE" w:rsidRPr="00474BDD" w:rsidRDefault="00000000">
      <w:pPr>
        <w:rPr>
          <w:rFonts w:ascii="Arial" w:hAnsi="Arial" w:cs="Arial"/>
        </w:rPr>
      </w:pPr>
      <w:r w:rsidRPr="00474BDD">
        <w:rPr>
          <w:rFonts w:ascii="Arial" w:hAnsi="Arial" w:cs="Arial"/>
        </w:rPr>
        <w:lastRenderedPageBreak/>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25F4982" ns2:textId="77777777" w:rsidR="005150BE" w:rsidRDefault="00000000">
      <w:pPr>
        <w:pStyle w:val="Heading2"/>
      </w:pPr>
      <w:r>
        <w:t>2.8 Software, code, and data availability</w:t>
      </w:r>
    </w:p>
    <w:p ns2:paraId="1C93AC83" ns2:textId="07259580" w:rsidR="005150BE" w:rsidRPr="00474BDD" w:rsidRDefault="00000000">
      <w:pPr>
        <w:rPr>
          <w:rFonts w:ascii="Arial" w:hAnsi="Arial" w:cs="Arial"/>
        </w:rPr>
      </w:pPr>
      <w:r w:rsidRPr="00474BDD">
        <w:rPr>
          <w:rFonts w:ascii="Arial" w:hAnsi="Arial" w:cs="Arial"/>
        </w:rP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generic, and live or external runs receive the same versioned fields. FoldX and large structural-input collections are not redistributed.</w:t>
      </w:r>
    </w:p>
    <w:p ns2:paraId="684DDE7A" ns2:textId="77777777" w:rsidR="005150BE" w:rsidRDefault="00000000">
      <w:pPr>
        <w:pStyle w:val="Heading1"/>
        <w:spacing w:after="50"/>
      </w:pPr>
      <w:r>
        <w:t>3. Results</w:t>
      </w:r>
    </w:p>
    <w:p ns2:paraId="0E5CEAB4" ns2:textId="77777777" w:rsidR="005150BE" w:rsidRDefault="00000000">
      <w:pPr>
        <w:pStyle w:val="Heading2"/>
      </w:pPr>
      <w:r>
        <w:t>3.1 A COMAVI call scores the same substitution in the isolated subunit and in the assembly</w:t>
      </w:r>
    </w:p>
    <w:p ns2:paraId="1DA4C2F3" ns2:textId="1B3E4EE1" w:rsidR="005150BE" w:rsidRDefault="00000000">
      <w:r>
        <w:rPr>
          <w:rFonts w:ascii="Arial" w:eastAsia="Arial" w:hAnsi="Arial"/>
        </w:rPr>
        <w:t xml:space="preserve">Before any benchmark result can be read, it must be clear what a single COMAVI call contains.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 Several quantities derived from these calls are reported below and are easy to conflate; Table 3 defines each </w:t>
      </w:r>
      <w:r w:rsidR="00BA0E61">
        <w:rPr>
          <w:rFonts w:ascii="Arial" w:eastAsia="Arial" w:hAnsi="Arial"/>
        </w:rPr>
        <w:t>output</w:t>
      </w:r>
      <w:r>
        <w:rPr>
          <w:rFonts w:ascii="Arial" w:eastAsia="Arial" w:hAnsi="Arial"/>
        </w:rPr>
        <w:t>, names the population it is computed over, and gives its value at every decision threshold</w:t>
      </w:r>
      <w:r w:rsidR="00BA0E61">
        <w:rPr>
          <w:rFonts w:ascii="Arial" w:eastAsia="Arial" w:hAnsi="Arial"/>
        </w:rPr>
        <w:t>.</w:t>
      </w:r>
    </w:p>
    <w:p ns2:paraId="54D7A9A9" ns2:textId="77777777" w:rsidR="005150BE" w:rsidRPr="007007B1" w:rsidRDefault="00000000">
      <w:pPr>
        <w:rPr>
          <w:rFonts w:ascii="Arial" w:hAnsi="Arial" w:cs="Arial"/>
        </w:rPr>
      </w:pPr>
      <w:commentRangeStart w:id="14"/>
      <w:r w:rsidRPr="007007B1">
        <w:rPr>
          <w:rFonts w:ascii="Arial" w:hAnsi="Arial" w:cs="Arial"/>
        </w:rPr>
        <w:t>Two variants in the cohort show what scoring both contexts buys, because in each the two contexts disagree. CFH R78G illustrates a binding-specific result: its predicted isolated-subunit change was modest (0.93 kcal/mol), whereas predicted binding disruption was 6.12 kcal/mol, consistent with an increase in the measured dissociation constant from approximately 12 μM to more than 35 μM [46]. VWF R1334Q shows the value of evaluating the assembled complex. Its isolated-subunit prediction was nearly neutral (0.01 kcal/mol), but assembled-complex stability and binding changed by 4.73 and 4.11 kcal/mol [47]. The profile therefore proposes a combined assembly-and-binding lesion rather than an isolated-fold lesion.</w:t>
      </w:r>
      <w:r w:rsidRPr="007007B1">
        <w:rPr>
          <w:rFonts w:ascii="Arial" w:hAnsi="Arial" w:cs="Arial"/>
        </w:rPr>
      </w:r>
    </w:p>
    <w:p ns2:paraId="709499E0" ns2:textId="77777777" w:rsidR="005150BE" w:rsidRPr="007007B1" w:rsidRDefault="00000000">
      <w:pPr>
        <w:rPr>
          <w:rFonts w:ascii="Arial" w:hAnsi="Arial" w:cs="Arial"/>
        </w:rPr>
      </w:pPr>
      <w:r w:rsidRPr="007007B1">
        <w:rPr>
          <w:rFonts w:ascii="Arial" w:hAnsi="Arial" w:cs="Arial"/>
        </w:rP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S1 Table (model_scope sheet) is what separates the two situations, and it is applied before scoring rather than after.</w:t>
      </w:r>
      <w:commentRangeEnd w:id="14"/>
      <w:r w:rsidR="00BA0E61" w:rsidRPr="007007B1">
        <w:rPr>
          <w:rStyle w:val="CommentReference"/>
          <w:rFonts w:ascii="Arial" w:hAnsi="Arial" w:cs="Arial"/>
          <w:sz w:val="21"/>
          <w:szCs w:val="22"/>
        </w:rPr>
        <w:commentReference w:id="14"/>
      </w:r>
    </w:p>
    <w:p ns2:paraId="0FE00C48" ns2:textId="77777777" w:rsidR="005150BE" w:rsidRDefault="00000000">
      <w:pPr>
        <w:pStyle w:val="Caption"/>
        <w:rPr>
          <w:rFonts w:ascii="Arial" w:hAnsi="Arial" w:cs="Arial"/>
        </w:rPr>
      </w:pPr>
      <w:r w:rsidRPr="000B1FC7">
        <w:rPr>
          <w:rFonts w:ascii="Arial" w:hAnsi="Arial" w:cs="Arial"/>
        </w:rPr>
        <w:t>Table 3. Every reported metric, its population, and its value at each decision threshold.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9"/>
        <w:gridCol w:w="1249"/>
        <w:gridCol w:w="1249"/>
        <w:gridCol w:w="1249"/>
        <w:gridCol w:w="1249"/>
        <w:gridCol w:w="1249"/>
        <w:gridCol w:w="1249"/>
        <w:gridCol w:w="1249"/>
      </w:tblGrid>
      <w:tr>
        <w:tc>
          <w:tcPr>
            <w:tcW w:type="dxa" w:w="1249"/>
          </w:tcPr>
          <w:p>
            <w:pPr>
              <w:spacing w:line="240" w:lineRule="auto"/>
            </w:pPr>
            <w:r/>
            <w:r>
              <w:rPr>
                <w:b/>
                <w:sz w:val="17"/>
              </w:rPr>
              <w:t>Name used in this paper</w:t>
            </w:r>
          </w:p>
        </w:tc>
        <w:tc>
          <w:tcPr>
            <w:tcW w:type="dxa" w:w="1249"/>
          </w:tcPr>
          <w:p>
            <w:pPr>
              <w:spacing w:line="240" w:lineRule="auto"/>
            </w:pPr>
            <w:r/>
            <w:r>
              <w:rPr>
                <w:b/>
                <w:sz w:val="17"/>
              </w:rPr>
              <w:t>Population</w:t>
            </w:r>
          </w:p>
        </w:tc>
        <w:tc>
          <w:tcPr>
            <w:tcW w:type="dxa" w:w="1249"/>
          </w:tcPr>
          <w:p>
            <w:pPr>
              <w:spacing w:line="240" w:lineRule="auto"/>
            </w:pPr>
            <w:r/>
            <w:r>
              <w:rPr>
                <w:b/>
                <w:sz w:val="17"/>
              </w:rPr>
              <w:t>What it counts</w:t>
            </w:r>
          </w:p>
        </w:tc>
        <w:tc>
          <w:tcPr>
            <w:tcW w:type="dxa" w:w="1249"/>
          </w:tcPr>
          <w:p>
            <w:pPr>
              <w:spacing w:line="240" w:lineRule="auto"/>
            </w:pPr>
            <w:r/>
            <w:r>
              <w:rPr>
                <w:b/>
                <w:sz w:val="17"/>
              </w:rPr>
              <w:t>1.0</w:t>
            </w:r>
          </w:p>
        </w:tc>
        <w:tc>
          <w:tcPr>
            <w:tcW w:type="dxa" w:w="1249"/>
          </w:tcPr>
          <w:p>
            <w:pPr>
              <w:spacing w:line="240" w:lineRule="auto"/>
            </w:pPr>
            <w:r/>
            <w:r>
              <w:rPr>
                <w:b/>
                <w:sz w:val="17"/>
              </w:rPr>
              <w:t>1.5</w:t>
            </w:r>
          </w:p>
        </w:tc>
        <w:tc>
          <w:tcPr>
            <w:tcW w:type="dxa" w:w="1249"/>
          </w:tcPr>
          <w:p>
            <w:pPr>
              <w:spacing w:line="240" w:lineRule="auto"/>
            </w:pPr>
            <w:r/>
            <w:r>
              <w:rPr>
                <w:b/>
                <w:sz w:val="17"/>
              </w:rPr>
              <w:t>2.0</w:t>
            </w:r>
          </w:p>
        </w:tc>
        <w:tc>
          <w:tcPr>
            <w:tcW w:type="dxa" w:w="1249"/>
          </w:tcPr>
          <w:p>
            <w:pPr>
              <w:spacing w:line="240" w:lineRule="auto"/>
            </w:pPr>
            <w:r/>
            <w:r>
              <w:rPr>
                <w:b/>
                <w:sz w:val="17"/>
              </w:rPr>
              <w:t>2.5</w:t>
            </w:r>
          </w:p>
        </w:tc>
        <w:tc>
          <w:tcPr>
            <w:tcW w:type="dxa" w:w="1249"/>
          </w:tcPr>
          <w:p>
            <w:pPr>
              <w:spacing w:line="240" w:lineRule="auto"/>
            </w:pPr>
            <w:r/>
            <w:r>
              <w:rPr>
                <w:b/>
                <w:sz w:val="17"/>
              </w:rPr>
              <w:t>2.9/2.9/3.5</w:t>
            </w:r>
          </w:p>
        </w:tc>
      </w:tr>
      <w:tr>
        <w:tc>
          <w:tcPr>
            <w:tcW w:type="dxa" w:w="1249"/>
          </w:tcPr>
          <w:p>
            <w:pPr>
              <w:spacing w:line="240" w:lineRule="auto"/>
            </w:pPr>
            <w:r/>
            <w:r>
              <w:rPr>
                <w:sz w:val="17"/>
              </w:rPr>
              <w:t>Mechanism-pattern score (pooled)</w:t>
            </w:r>
          </w:p>
        </w:tc>
        <w:tc>
          <w:tcPr>
            <w:tcW w:type="dxa" w:w="1249"/>
          </w:tcPr>
          <w:p>
            <w:pPr>
              <w:spacing w:line="240" w:lineRule="auto"/>
            </w:pPr>
            <w:r/>
            <w:r>
              <w:rPr>
                <w:sz w:val="17"/>
              </w:rPr>
              <w:t>57 graded variants</w:t>
            </w:r>
          </w:p>
        </w:tc>
        <w:tc>
          <w:tcPr>
            <w:tcW w:type="dxa" w:w="1249"/>
          </w:tcPr>
          <w:p>
            <w:pPr>
              <w:spacing w:line="240" w:lineRule="auto"/>
            </w:pPr>
            <w:r/>
            <w:r>
              <w:rPr>
                <w:sz w:val="17"/>
              </w:rPr>
              <w:t>Partial-credit rubric grade averaged over every graded variant, both classes</w:t>
            </w:r>
          </w:p>
        </w:tc>
        <w:tc>
          <w:tcPr>
            <w:tcW w:type="dxa" w:w="1249"/>
          </w:tcPr>
          <w:p>
            <w:pPr>
              <w:spacing w:line="240" w:lineRule="auto"/>
            </w:pPr>
            <w:r/>
            <w:r>
              <w:rPr>
                <w:sz w:val="17"/>
              </w:rPr>
              <w:t>0.579</w:t>
            </w:r>
          </w:p>
        </w:tc>
        <w:tc>
          <w:tcPr>
            <w:tcW w:type="dxa" w:w="1249"/>
          </w:tcPr>
          <w:p>
            <w:pPr>
              <w:spacing w:line="240" w:lineRule="auto"/>
            </w:pPr>
            <w:r/>
            <w:r>
              <w:rPr>
                <w:sz w:val="17"/>
              </w:rPr>
              <w:t>0.649</w:t>
            </w:r>
          </w:p>
        </w:tc>
        <w:tc>
          <w:tcPr>
            <w:tcW w:type="dxa" w:w="1249"/>
          </w:tcPr>
          <w:p>
            <w:pPr>
              <w:spacing w:line="240" w:lineRule="auto"/>
            </w:pPr>
            <w:r/>
            <w:r>
              <w:rPr>
                <w:sz w:val="17"/>
              </w:rPr>
              <w:t>0.684</w:t>
            </w:r>
          </w:p>
        </w:tc>
        <w:tc>
          <w:tcPr>
            <w:tcW w:type="dxa" w:w="1249"/>
          </w:tcPr>
          <w:p>
            <w:pPr>
              <w:spacing w:line="240" w:lineRule="auto"/>
            </w:pPr>
            <w:r/>
            <w:r>
              <w:rPr>
                <w:sz w:val="17"/>
              </w:rPr>
              <w:t>0.719</w:t>
            </w:r>
          </w:p>
        </w:tc>
        <w:tc>
          <w:tcPr>
            <w:tcW w:type="dxa" w:w="1249"/>
          </w:tcPr>
          <w:p>
            <w:pPr>
              <w:spacing w:line="240" w:lineRule="auto"/>
            </w:pPr>
            <w:r/>
            <w:r>
              <w:rPr>
                <w:sz w:val="17"/>
              </w:rPr>
              <w:t>0.711</w:t>
            </w:r>
          </w:p>
        </w:tc>
      </w:tr>
      <w:tr>
        <w:tc>
          <w:tcPr>
            <w:tcW w:type="dxa" w:w="1249"/>
          </w:tcPr>
          <w:p>
            <w:pPr>
              <w:spacing w:line="240" w:lineRule="auto"/>
            </w:pPr>
            <w:r/>
            <w:r>
              <w:rPr>
                <w:sz w:val="17"/>
              </w:rPr>
              <w:t>Structural arm</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The same rubric restricted to variants expected to carry a lesion</w:t>
            </w:r>
          </w:p>
        </w:tc>
        <w:tc>
          <w:tcPr>
            <w:tcW w:type="dxa" w:w="1249"/>
          </w:tcPr>
          <w:p>
            <w:pPr>
              <w:spacing w:line="240" w:lineRule="auto"/>
            </w:pPr>
            <w:r/>
            <w:r>
              <w:rPr>
                <w:sz w:val="17"/>
              </w:rPr>
              <w:t>0.760</w:t>
            </w:r>
          </w:p>
        </w:tc>
        <w:tc>
          <w:tcPr>
            <w:tcW w:type="dxa" w:w="1249"/>
          </w:tcPr>
          <w:p>
            <w:pPr>
              <w:spacing w:line="240" w:lineRule="auto"/>
            </w:pPr>
            <w:r/>
            <w:r>
              <w:rPr>
                <w:sz w:val="17"/>
              </w:rPr>
              <w:t>0.720</w:t>
            </w:r>
          </w:p>
        </w:tc>
        <w:tc>
          <w:tcPr>
            <w:tcW w:type="dxa" w:w="1249"/>
          </w:tcPr>
          <w:p>
            <w:pPr>
              <w:spacing w:line="240" w:lineRule="auto"/>
            </w:pPr>
            <w:r/>
            <w:r>
              <w:rPr>
                <w:sz w:val="17"/>
              </w:rPr>
              <w:t>0.640</w:t>
            </w:r>
          </w:p>
        </w:tc>
        <w:tc>
          <w:tcPr>
            <w:tcW w:type="dxa" w:w="1249"/>
          </w:tcPr>
          <w:p>
            <w:pPr>
              <w:spacing w:line="240" w:lineRule="auto"/>
            </w:pPr>
            <w:r/>
            <w:r>
              <w:rPr>
                <w:sz w:val="17"/>
              </w:rPr>
              <w:t>0.600</w:t>
            </w:r>
          </w:p>
        </w:tc>
        <w:tc>
          <w:tcPr>
            <w:tcW w:type="dxa" w:w="1249"/>
          </w:tcPr>
          <w:p>
            <w:pPr>
              <w:spacing w:line="240" w:lineRule="auto"/>
            </w:pPr>
            <w:r/>
            <w:r>
              <w:rPr>
                <w:sz w:val="17"/>
              </w:rPr>
              <w:t>0.540</w:t>
            </w:r>
          </w:p>
        </w:tc>
      </w:tr>
      <w:tr>
        <w:tc>
          <w:tcPr>
            <w:tcW w:type="dxa" w:w="1249"/>
          </w:tcPr>
          <w:p>
            <w:pPr>
              <w:spacing w:line="240" w:lineRule="auto"/>
            </w:pPr>
            <w:r/>
            <w:r>
              <w:rPr>
                <w:sz w:val="17"/>
              </w:rPr>
              <w:t>Rejection arm</w:t>
            </w:r>
          </w:p>
        </w:tc>
        <w:tc>
          <w:tcPr>
            <w:tcW w:type="dxa" w:w="1249"/>
          </w:tcPr>
          <w:p>
            <w:pPr>
              <w:spacing w:line="240" w:lineRule="auto"/>
            </w:pPr>
            <w:r/>
            <w:r>
              <w:rPr>
                <w:sz w:val="17"/>
              </w:rPr>
              <w:t>32 curated to carry no lesion on the modeled axes</w:t>
            </w:r>
          </w:p>
        </w:tc>
        <w:tc>
          <w:tcPr>
            <w:tcW w:type="dxa" w:w="1249"/>
          </w:tcPr>
          <w:p>
            <w:pPr>
              <w:spacing w:line="240" w:lineRule="auto"/>
            </w:pPr>
            <w:r/>
            <w:r>
              <w:rPr>
                <w:sz w:val="17"/>
              </w:rPr>
              <w:t>The same rubric restricted to variants expected to be silent</w:t>
            </w:r>
          </w:p>
        </w:tc>
        <w:tc>
          <w:tcPr>
            <w:tcW w:type="dxa" w:w="1249"/>
          </w:tcPr>
          <w:p>
            <w:pPr>
              <w:spacing w:line="240" w:lineRule="auto"/>
            </w:pPr>
            <w:r/>
            <w:r>
              <w:rPr>
                <w:sz w:val="17"/>
              </w:rPr>
              <w:t>0.438</w:t>
            </w:r>
          </w:p>
        </w:tc>
        <w:tc>
          <w:tcPr>
            <w:tcW w:type="dxa" w:w="1249"/>
          </w:tcPr>
          <w:p>
            <w:pPr>
              <w:spacing w:line="240" w:lineRule="auto"/>
            </w:pPr>
            <w:r/>
            <w:r>
              <w:rPr>
                <w:sz w:val="17"/>
              </w:rPr>
              <w:t>0.594</w:t>
            </w:r>
          </w:p>
        </w:tc>
        <w:tc>
          <w:tcPr>
            <w:tcW w:type="dxa" w:w="1249"/>
          </w:tcPr>
          <w:p>
            <w:pPr>
              <w:spacing w:line="240" w:lineRule="auto"/>
            </w:pPr>
            <w:r/>
            <w:r>
              <w:rPr>
                <w:sz w:val="17"/>
              </w:rPr>
              <w:t>0.719</w:t>
            </w:r>
          </w:p>
        </w:tc>
        <w:tc>
          <w:tcPr>
            <w:tcW w:type="dxa" w:w="1249"/>
          </w:tcPr>
          <w:p>
            <w:pPr>
              <w:spacing w:line="240" w:lineRule="auto"/>
            </w:pPr>
            <w:r/>
            <w:r>
              <w:rPr>
                <w:sz w:val="17"/>
              </w:rPr>
              <w:t>0.812</w:t>
            </w:r>
          </w:p>
        </w:tc>
        <w:tc>
          <w:tcPr>
            <w:tcW w:type="dxa" w:w="1249"/>
          </w:tcPr>
          <w:p>
            <w:pPr>
              <w:spacing w:line="240" w:lineRule="auto"/>
            </w:pPr>
            <w:r/>
            <w:r>
              <w:rPr>
                <w:sz w:val="17"/>
              </w:rPr>
              <w:t>0.844</w:t>
            </w:r>
          </w:p>
        </w:tc>
      </w:tr>
      <w:tr>
        <w:tc>
          <w:tcPr>
            <w:tcW w:type="dxa" w:w="1249"/>
          </w:tcPr>
          <w:p>
            <w:pPr>
              <w:spacing w:line="240" w:lineRule="auto"/>
            </w:pPr>
            <w:r/>
            <w:r>
              <w:rPr>
                <w:sz w:val="17"/>
              </w:rPr>
              <w:t>Detection</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Fraction for which at least one of the three axes exceeds the threshold, regardless of which</w:t>
            </w:r>
          </w:p>
        </w:tc>
        <w:tc>
          <w:tcPr>
            <w:tcW w:type="dxa" w:w="1249"/>
          </w:tcPr>
          <w:p>
            <w:pPr>
              <w:spacing w:line="240" w:lineRule="auto"/>
            </w:pPr>
            <w:r/>
            <w:r>
              <w:rPr>
                <w:sz w:val="17"/>
              </w:rPr>
              <w:t>0.920</w:t>
            </w:r>
          </w:p>
        </w:tc>
        <w:tc>
          <w:tcPr>
            <w:tcW w:type="dxa" w:w="1249"/>
          </w:tcPr>
          <w:p>
            <w:pPr>
              <w:spacing w:line="240" w:lineRule="auto"/>
            </w:pPr>
            <w:r/>
            <w:r>
              <w:rPr>
                <w:sz w:val="17"/>
              </w:rPr>
              <w:t>0.800</w:t>
            </w:r>
          </w:p>
        </w:tc>
        <w:tc>
          <w:tcPr>
            <w:tcW w:type="dxa" w:w="1249"/>
          </w:tcPr>
          <w:p>
            <w:pPr>
              <w:spacing w:line="240" w:lineRule="auto"/>
            </w:pPr>
            <w:r/>
            <w:r>
              <w:rPr>
                <w:sz w:val="17"/>
              </w:rPr>
              <w:t>0.800</w:t>
            </w:r>
          </w:p>
        </w:tc>
        <w:tc>
          <w:tcPr>
            <w:tcW w:type="dxa" w:w="1249"/>
          </w:tcPr>
          <w:p>
            <w:pPr>
              <w:spacing w:line="240" w:lineRule="auto"/>
            </w:pPr>
            <w:r/>
            <w:r>
              <w:rPr>
                <w:sz w:val="17"/>
              </w:rPr>
              <w:t>0.800</w:t>
            </w:r>
          </w:p>
        </w:tc>
        <w:tc>
          <w:tcPr>
            <w:tcW w:type="dxa" w:w="1249"/>
          </w:tcPr>
          <w:p>
            <w:pPr>
              <w:spacing w:line="240" w:lineRule="auto"/>
            </w:pPr>
            <w:r/>
            <w:r>
              <w:rPr>
                <w:sz w:val="17"/>
              </w:rPr>
              <w:t>0.720</w:t>
            </w:r>
          </w:p>
        </w:tc>
      </w:tr>
      <w:tr>
        <w:tc>
          <w:tcPr>
            <w:tcW w:type="dxa" w:w="1249"/>
          </w:tcPr>
          <w:p>
            <w:pPr>
              <w:spacing w:line="240" w:lineRule="auto"/>
            </w:pPr>
            <w:r/>
            <w:r>
              <w:rPr>
                <w:sz w:val="17"/>
              </w:rPr>
              <w:t>Attribution</w:t>
            </w:r>
          </w:p>
        </w:tc>
        <w:tc>
          <w:tcPr>
            <w:tcW w:type="dxa" w:w="1249"/>
          </w:tcPr>
          <w:p>
            <w:pPr>
              <w:spacing w:line="240" w:lineRule="auto"/>
            </w:pPr>
            <w:r/>
            <w:r>
              <w:rPr>
                <w:sz w:val="17"/>
              </w:rPr>
              <w:t>25 with a committed structural mechanism</w:t>
            </w:r>
          </w:p>
        </w:tc>
        <w:tc>
          <w:tcPr>
            <w:tcW w:type="dxa" w:w="1249"/>
          </w:tcPr>
          <w:p>
            <w:pPr>
              <w:spacing w:line="240" w:lineRule="auto"/>
            </w:pPr>
            <w:r/>
            <w:r>
              <w:rPr>
                <w:sz w:val="17"/>
              </w:rPr>
              <w:t>Fraction for which the axis the literature attributes the mechanism to exceeds the threshold</w:t>
            </w:r>
          </w:p>
        </w:tc>
        <w:tc>
          <w:tcPr>
            <w:tcW w:type="dxa" w:w="1249"/>
          </w:tcPr>
          <w:p>
            <w:pPr>
              <w:spacing w:line="240" w:lineRule="auto"/>
            </w:pPr>
            <w:r/>
            <w:r>
              <w:rPr>
                <w:sz w:val="17"/>
              </w:rPr>
              <w:t>0.760</w:t>
            </w:r>
          </w:p>
        </w:tc>
        <w:tc>
          <w:tcPr>
            <w:tcW w:type="dxa" w:w="1249"/>
          </w:tcPr>
          <w:p>
            <w:pPr>
              <w:spacing w:line="240" w:lineRule="auto"/>
            </w:pPr>
            <w:r/>
            <w:r>
              <w:rPr>
                <w:sz w:val="17"/>
              </w:rPr>
              <w:t>0.680</w:t>
            </w:r>
          </w:p>
        </w:tc>
        <w:tc>
          <w:tcPr>
            <w:tcW w:type="dxa" w:w="1249"/>
          </w:tcPr>
          <w:p>
            <w:pPr>
              <w:spacing w:line="240" w:lineRule="auto"/>
            </w:pPr>
            <w:r/>
            <w:r>
              <w:rPr>
                <w:sz w:val="17"/>
              </w:rPr>
              <w:t>0.640</w:t>
            </w:r>
          </w:p>
        </w:tc>
        <w:tc>
          <w:tcPr>
            <w:tcW w:type="dxa" w:w="1249"/>
          </w:tcPr>
          <w:p>
            <w:pPr>
              <w:spacing w:line="240" w:lineRule="auto"/>
            </w:pPr>
            <w:r/>
            <w:r>
              <w:rPr>
                <w:sz w:val="17"/>
              </w:rPr>
              <w:t>0.560</w:t>
            </w:r>
          </w:p>
        </w:tc>
        <w:tc>
          <w:tcPr>
            <w:tcW w:type="dxa" w:w="1249"/>
          </w:tcPr>
          <w:p>
            <w:pPr>
              <w:spacing w:line="240" w:lineRule="auto"/>
            </w:pPr>
            <w:r/>
            <w:r>
              <w:rPr>
                <w:sz w:val="17"/>
              </w:rPr>
              <w:t>0.480</w:t>
            </w:r>
          </w:p>
        </w:tc>
      </w:tr>
      <w:tr>
        <w:tc>
          <w:tcPr>
            <w:tcW w:type="dxa" w:w="1249"/>
          </w:tcPr>
          <w:p>
            <w:pPr>
              <w:spacing w:line="240" w:lineRule="auto"/>
            </w:pPr>
            <w:r/>
            <w:r>
              <w:rPr>
                <w:sz w:val="17"/>
              </w:rPr>
              <w:t>Measured destabilizations called</w:t>
            </w:r>
          </w:p>
        </w:tc>
        <w:tc>
          <w:tcPr>
            <w:tcW w:type="dxa" w:w="1249"/>
          </w:tcPr>
          <w:p>
            <w:pPr>
              <w:spacing w:line="240" w:lineRule="auto"/>
            </w:pPr>
            <w:r/>
            <w:r>
              <w:rPr>
                <w:sz w:val="17"/>
              </w:rPr>
              <w:t>44 variant-axis comparisons with a directly measured energy</w:t>
            </w:r>
          </w:p>
        </w:tc>
        <w:tc>
          <w:tcPr>
            <w:tcW w:type="dxa" w:w="1249"/>
          </w:tcPr>
          <w:p>
            <w:pPr>
              <w:spacing w:line="240" w:lineRule="auto"/>
            </w:pPr>
            <w:r/>
            <w:r>
              <w:rPr>
                <w:sz w:val="17"/>
              </w:rPr>
              <w:t>Fraction of measured destabilizing effects that FoldX also calls at the threshold</w:t>
            </w:r>
          </w:p>
        </w:tc>
        <w:tc>
          <w:tcPr>
            <w:tcW w:type="dxa" w:w="1249"/>
          </w:tcPr>
          <w:p>
            <w:pPr>
              <w:spacing w:line="240" w:lineRule="auto"/>
            </w:pPr>
            <w:r/>
            <w:r>
              <w:rPr>
                <w:sz w:val="17"/>
              </w:rPr>
              <w:t>0.795</w:t>
            </w:r>
          </w:p>
        </w:tc>
        <w:tc>
          <w:tcPr>
            <w:tcW w:type="dxa" w:w="1249"/>
          </w:tcPr>
          <w:p>
            <w:pPr>
              <w:spacing w:line="240" w:lineRule="auto"/>
            </w:pPr>
            <w:r/>
            <w:r>
              <w:rPr>
                <w:sz w:val="17"/>
              </w:rPr>
              <w:t>0.591</w:t>
            </w:r>
          </w:p>
        </w:tc>
        <w:tc>
          <w:tcPr>
            <w:tcW w:type="dxa" w:w="1249"/>
          </w:tcPr>
          <w:p>
            <w:pPr>
              <w:spacing w:line="240" w:lineRule="auto"/>
            </w:pPr>
            <w:r/>
            <w:r>
              <w:rPr>
                <w:sz w:val="17"/>
              </w:rPr>
              <w:t>0.432</w:t>
            </w:r>
          </w:p>
        </w:tc>
        <w:tc>
          <w:tcPr>
            <w:tcW w:type="dxa" w:w="1249"/>
          </w:tcPr>
          <w:p>
            <w:pPr>
              <w:spacing w:line="240" w:lineRule="auto"/>
            </w:pPr>
            <w:r/>
            <w:r>
              <w:rPr>
                <w:sz w:val="17"/>
              </w:rPr>
              <w:t>0.295</w:t>
            </w:r>
          </w:p>
        </w:tc>
        <w:tc>
          <w:tcPr>
            <w:tcW w:type="dxa" w:w="1249"/>
          </w:tcPr>
          <w:p>
            <w:pPr>
              <w:spacing w:line="240" w:lineRule="auto"/>
            </w:pPr>
            <w:r/>
            <w:r>
              <w:rPr>
                <w:sz w:val="17"/>
              </w:rPr>
              <w:t>0.273</w:t>
            </w:r>
          </w:p>
        </w:tc>
      </w:tr>
      <w:tr>
        <w:tc>
          <w:tcPr>
            <w:tcW w:type="dxa" w:w="1249"/>
          </w:tcPr>
          <w:p>
            <w:pPr>
              <w:spacing w:line="240" w:lineRule="auto"/>
            </w:pPr>
            <w:r/>
            <w:r>
              <w:rPr>
                <w:sz w:val="17"/>
              </w:rPr>
              <w:t>Structural-prioritization ROC AUC</w:t>
            </w:r>
          </w:p>
        </w:tc>
        <w:tc>
          <w:tcPr>
            <w:tcW w:type="dxa" w:w="1249"/>
          </w:tcPr>
          <w:p>
            <w:pPr>
              <w:spacing w:line="240" w:lineRule="auto"/>
            </w:pPr>
            <w:r/>
            <w:r>
              <w:rPr>
                <w:sz w:val="17"/>
              </w:rPr>
              <w:t>47-variant prioritization subset</w:t>
            </w:r>
          </w:p>
        </w:tc>
        <w:tc>
          <w:tcPr>
            <w:tcW w:type="dxa" w:w="1249"/>
          </w:tcPr>
          <w:p>
            <w:pPr>
              <w:spacing w:line="240" w:lineRule="auto"/>
            </w:pPr>
            <w:r/>
            <w:r>
              <w:rPr>
                <w:sz w:val="17"/>
              </w:rPr>
              <w:t>Probability that a randomly chosen structural-mechanism variant outranks a randomly chosen no-lesion variant</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c>
          <w:tcPr>
            <w:tcW w:type="dxa" w:w="1249"/>
          </w:tcPr>
          <w:p>
            <w:pPr>
              <w:spacing w:line="240" w:lineRule="auto"/>
            </w:pPr>
            <w:r/>
            <w:r>
              <w:rPr>
                <w:sz w:val="17"/>
              </w:rPr>
              <w:t>0.943</w:t>
            </w:r>
          </w:p>
        </w:tc>
      </w:tr>
    </w:tbl>
    <w:p ns2:paraId="3FB5A7F0" ns2:textId="505A869C" w:rsidR="00423ADE" w:rsidRDefault="00000000">
      <w:r>
        <w:t>Each metric is given across the whole prespecified threshold set rather than at the reference alone; S2 Table (threshold_sweep sheet) adds post hoc points beyond the prespecified range. The structural-prioritization ROC AUC is constant across the row because it is the one metric here that is threshold-free in both of its ingredients: the priority score is a continuous combination of energies and structural context that applies no cut-off, and the positive class is the curated mechanism class from the evidence ledger, not a thresholded call.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r/>
    </w:p>
    <w:p ns2:paraId="170AC53A" ns2:textId="77777777" w:rsidR="001A2D1D" w:rsidRDefault="001A2D1D">
      <w:pPr>
        <w:pStyle w:val="Heading2"/>
      </w:pPr>
    </w:p>
    <w:p ns2:paraId="133CFFF7" ns2:textId="77777777" w:rsidR="005150BE" w:rsidRDefault="00000000">
      <w:pPr>
        <w:pStyle w:val="Heading2"/>
      </w:pPr>
      <w:r>
        <w:t>3.2 COMAVI recovers the literature-defined mechanism well above every trivial strategy</w:t>
      </w:r>
    </w:p>
    <w:p ns2:paraId="26345B8F" ns2:textId="7300EBFC" w:rsidR="005150BE" w:rsidRDefault="00000000">
      <w:r>
        <w:rPr>
          <w:rFonts w:ascii="Arial" w:eastAsia="Arial" w:hAnsi="Arial"/>
        </w:rPr>
        <w:t>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Across the prespecified threshold set the same score runs 0.579, 0.649, 0.684, 0.719 and 0.711, so the reference is also its maximum on this cohort; Table 3 gives every metric in this paper at all five thresholds. The cohort is near balanced by construction, 32 variants curated to carry no lesion on the modeled axes against 25 with a committed structural mechanism, so the unweighted mean of the two arms, 0.706, sits 0.013 below the weighted score. Both are reported because the balance is not exact.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(standard deviation 0.052). COMAVI exceeds the strongest trivial strategy by 0.158. A single aggregate nonetheless averages two capabilities that behave differently.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S2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r>
        <w:rPr>
          <w:rFonts w:ascii="Arial" w:eastAsia="Arial" w:hAnsi="Arial"/>
        </w:rPr>
      </w:r>
    </w:p>
    <w:p ns2:paraId="41A93299" ns2:textId="74C2DA42" w:rsidR="005150BE" w:rsidRDefault="00000000">
      <w:r>
        <w:rPr>
          <w:rFonts w:ascii="Arial" w:eastAsia="Arial" w:hAnsi="Arial"/>
        </w:rPr>
        <w:t>58 of 77 applicable energetic calculations had the expected direction: 19/25 for isolated-subunit stability, 17/22 for stability calculated in the assembled complex, and 22/30 for binding. Fig 2 shows these axis-specific counts alongside the whole-variant partial-credit score. The three rates fall within 0.040 of one another, so the aggregate rests evenly on the three physical axes rather than being carried by any one of them. The per-axis rates identify which calculations contributed, but they do not replace the whole-variant outcome.</w:t>
      </w:r>
      <w:commentRangeStart w:id="16"/>
      <w:r>
        <w:rPr>
          <w:rFonts w:ascii="Arial" w:eastAsia="Arial" w:hAnsi="Arial"/>
        </w:rPr>
      </w:r>
      <w:commentRangeEnd w:id="16"/>
      <w:r w:rsidR="00274581">
        <w:rPr>
          <w:rStyle w:val="CommentReference"/>
          <w:rFonts w:ascii="Arial" w:eastAsia="Arial" w:hAnsi="Arial"/>
          <w:sz w:val="21"/>
          <w:szCs w:val="22"/>
        </w:rPr>
      </w:r>
      <w:r>
        <w:rPr>
          <w:rFonts w:ascii="Arial" w:eastAsia="Arial" w:hAnsi="Arial"/>
        </w:rPr>
      </w:r>
    </w:p>
    <w:p ns2:paraId="1306F386" ns2:textId="77777777" w:rsidR="005150BE" w:rsidRDefault="00000000">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5"/>
                    <a:stretch>
                      <a:fillRect/>
                    </a:stretch>
                  </ns6:blipFill>
                  <ns6:spPr>
                    <a:xfrm>
                      <a:off x="0" y="0"/>
                      <a:ext cx="6080760" cy="2527900"/>
                    </a:xfrm>
                    <a:prstGeom prst="rect">
                      <a:avLst/>
                    </a:prstGeom>
                  </ns6:spPr>
                </ns6:pic>
              </a:graphicData>
            </a:graphic>
          </wp:inline>
        </w:drawing>
      </w:r>
    </w:p>
    <w:p ns2:paraId="0CB90A4A" ns2:textId="77777777" w:rsidR="005150BE" w:rsidRDefault="00000000">
      <w:pPr>
        <w:pStyle w:val="Caption"/>
        <w:keepNext/>
        <w:spacing w:before="60"/>
      </w:pPr>
      <w:commentRangeStart w:id="17"/>
      <w:commentRangeStart w:id="18"/>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S2 Table (threshold_sweep sheet).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commentRangeEnd w:id="17"/>
      <w:r w:rsidR="00EF5FEA">
        <w:rPr>
          <w:rStyle w:val="CommentReference"/>
          <w:sz w:val="18"/>
          <w:szCs w:val="18"/>
        </w:rPr>
        <w:commentReference w:id="17"/>
      </w:r>
      <w:commentRangeEnd w:id="18"/>
      <w:r w:rsidR="00274581">
        <w:rPr>
          <w:rStyle w:val="CommentReference"/>
          <w:sz w:val="18"/>
          <w:szCs w:val="18"/>
        </w:rPr>
        <w:commentReference w:id="18"/>
      </w:r>
    </w:p>
    <w:p ns2:paraId="31CC6B9C"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The unrestricted screen on all 47 variants gives sensitivity 1.000 and specificity 0.567, so restricting to the strongest evidence moves specificity by 0.048 and leaves sensitivity unchanged, and the confidence interval on the restricted specificity contains the unrestricted value. Because evidence class was strongly tied to whether an axis was expected to be neutral or destabilizing, these analyses were treated as sensitivity views rather than alternative primary benchmarks (S1 Text). An independent check of the binding axis against measured interaction energies in SKEMPI 2.0 [56], outside the benchmark cohort entirely, recovers the same pattern on 41 interface substitutions in two complexes: Spearman rho = 0.55 (p = 0.0002), with the sign of the effect correct for 30 of 33 destabilizing substitutions. Ranking is therefore reproduced outside this cohort while magnitude is not, which is the same behaviour the benchmark shows. S3 Text and S2 Fig give the per-complex breakdown.</w:t>
      </w:r>
      <w:commentRangeStart w:id="19"/>
      <w:r>
        <w:rPr>
          <w:rFonts w:ascii="Arial" w:eastAsia="Arial" w:hAnsi="Arial"/>
        </w:rPr>
      </w:r>
      <w:r>
        <w:rPr>
          <w:rFonts w:ascii="Arial" w:eastAsia="Arial" w:hAnsi="Arial"/>
        </w:rPr>
      </w:r>
      <w:commentRangeEnd w:id="19"/>
      <w:r w:rsidR="005A3C2F">
        <w:rPr>
          <w:rStyle w:val="CommentReference"/>
          <w:rFonts w:ascii="Arial" w:eastAsia="Arial" w:hAnsi="Arial"/>
          <w:sz w:val="21"/>
          <w:szCs w:val="22"/>
        </w:rPr>
      </w:r>
      <w:commentRangeStart w:id="20"/>
      <w:r>
        <w:rPr>
          <w:rFonts w:ascii="Arial" w:eastAsia="Arial" w:hAnsi="Arial"/>
        </w:rPr>
      </w:r>
      <w:commentRangeEnd w:id="20"/>
      <w:r w:rsidR="005A3C2F">
        <w:rPr>
          <w:rStyle w:val="CommentReference"/>
          <w:sz w:val="21"/>
          <w:szCs w:val="22"/>
        </w:rPr>
      </w:r>
    </w:p>
    <w:p ns2:paraId="0A491864" ns2:textId="77777777" w:rsidR="005150BE" w:rsidRPr="00EF5FEA" w:rsidRDefault="00000000">
      <w:pPr>
        <w:rPr>
          <w:rFonts w:ascii="Arial" w:hAnsi="Arial" w:cs="Arial"/>
        </w:rPr>
      </w:pPr>
      <w:r w:rsidRPr="00EF5FEA">
        <w:rPr>
          <w:rFonts w:ascii="Arial" w:hAnsi="Arial" w:cs="Arial"/>
        </w:rPr>
        <w:t>No single system carried the result. Resampling entire protein systems gave a 95% interval of 0.625-0.821 for the mechanism-pattern score, and leave-one-system-out values ranged from 0.704 to 0.750. Permutation, replicate-noise, and continuity audits are reported in S3 Text and shown in S1 Fig.</w:t>
      </w:r>
    </w:p>
    <w:p ns2:paraId="31396A34" ns2:textId="77777777" w:rsidR="005150BE" w:rsidRDefault="00000000">
      <w:pPr>
        <w:pStyle w:val="Heading2"/>
      </w:pPr>
      <w:r>
        <w:t xml:space="preserve">3.3 </w:t>
      </w:r>
      <w:r w:rsidR="00BD1196">
        <w:t>T</w:t>
      </w:r>
      <w:r>
        <w:t>he priority score concentrates real mechanisms at the top of a ranking</w:t>
      </w:r>
    </w:p>
    <w:p ns2:paraId="02AC1760" ns2:textId="23EE4B30" w:rsidR="005150BE" w:rsidRDefault="00000000">
      <w:r>
        <w:rPr>
          <w:rFonts w:ascii="Arial" w:eastAsia="Arial" w:hAnsi="Arial"/>
        </w:rPr>
        <w:t>A mechanism call that is usually right is only useful if it changes what a laboratory does next, which means prioritizing candidates for follow-up. The priority score builds that ordering from two ingredients that carry different information, and each is worth reading on its own before they are combined.</w:t>
      </w:r>
      <w:r w:rsidR="00F94560">
        <w:rPr>
          <w:rFonts w:ascii="Arial" w:eastAsia="Arial" w:hAnsi="Arial"/>
        </w:rPr>
      </w:r>
      <w:r>
        <w:rPr>
          <w:rFonts w:ascii="Arial" w:eastAsia="Arial" w:hAnsi="Arial"/>
        </w:rPr>
      </w:r>
      <w:commentRangeStart w:id="21"/>
      <w:r>
        <w:rPr>
          <w:rFonts w:ascii="Arial" w:eastAsia="Arial" w:hAnsi="Arial"/>
        </w:rPr>
      </w:r>
      <w:r w:rsidR="003C2F95">
        <w:rPr>
          <w:rFonts w:ascii="Arial" w:eastAsia="Arial" w:hAnsi="Arial"/>
        </w:rPr>
      </w:r>
      <w:r>
        <w:rPr>
          <w:rFonts w:ascii="Arial" w:eastAsia="Arial" w:hAnsi="Arial"/>
        </w:rPr>
      </w:r>
      <w:commentRangeEnd w:id="21"/>
      <w:r w:rsidR="003C2F95">
        <w:rPr>
          <w:rStyle w:val="CommentReference"/>
          <w:sz w:val="21"/>
          <w:szCs w:val="22"/>
        </w:rPr>
      </w:r>
    </w:p>
    <w:p ns2:paraId="1F09601F" ns2:textId="77777777" w:rsidR="005150BE" w:rsidRDefault="00000000">
      <w:r>
        <w:rPr>
          <w:rFonts w:ascii="Arial" w:eastAsia="Arial" w:hAnsi="Arial"/>
        </w:rPr>
        <w:t>The structural-context tier uses no energy at all. It placed all 17 variants with modeled structural mechanisms in Tier 1 or 2, and it also placed 13 of 30 no-lesion variants there. Complete recovery on seventeen variants at a specificity of 0.567 locates the tier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What the tier cannot do is identify which energetic process is affected, so it should not override an axis-specific energy prediction. The comparator table and within-system tests are in S1 Table (context_comparators sheet) and S3 Fig.</w:t>
      </w:r>
    </w:p>
    <w:p>
      <w:pPr/>
      <w:r>
        <w:t>The energetic component carries no structural context. Ranked on its own it reached an ROC AUC of 0.857 and placed 15 of 17 structural mechanisms in the top 20, and it then stopped: the same 15 were all it recovered at depth 25. The two it never reaches are HBB N102T and MLH1 Q542L, which it ranks 37th and 33rd of 47, and both are variants the structural-context tier places in its highest group. The context component ranked on its own reached 0.890 and recovered 14 of 17 in the top 20 and 16 by depth 25. Neither component recovers the full set, and they fail on different variants. A descriptive crossing of the two ingredients makes the same point from the other direction. Sorting the 47 variants by whether the energy calls and the tier are positive, no variant with a modeled structural mechanism ever falls in the energy-only or the neither state, at either the 1.0 kcal/mol default or the 2.5 kcal/mol reference: 15 of the 17 are convergent at the reference and the remaining 2 are context-only. The energy-only state instead holds 8 curated no-lesion variants at the default and 3 at the reference and no real mechanism, so energy without supporting structural context is a no-lesion signature in this cohort rather than a mechanism. That is the empirical basis for reading a firing axis together with the tier rather than alone, and for combining them in the priority score. S2 Table (evidence_states sheet) gives the full crossing.</w:t>
      </w:r>
    </w:p>
    <w:p ns2:paraId="45B9391D" ns2:textId="1BF5135E" w:rsidR="005150BE" w:rsidRDefault="00000000">
      <w:r>
        <w:rPr>
          <w:rFonts w:ascii="Arial" w:eastAsia="Arial" w:hAnsi="Arial"/>
        </w:rPr>
        <w:t>Combining the two recovers what neither reaches alone. This analysis used the overlapping set of 47 interaction variants with a committed structural endpoint: 17 structural-mechanism variants and 30 variants curated to lack a lesion on the modeled axes. The fixed priority score is defined in Methods.</w:t>
      </w:r>
      <w:r w:rsidR="0072679F">
        <w:rPr>
          <w:rFonts w:ascii="Arial" w:eastAsia="Arial" w:hAnsi="Arial"/>
        </w:rPr>
      </w:r>
      <w:r>
        <w:rPr>
          <w:rFonts w:ascii="Arial" w:eastAsia="Arial" w:hAnsi="Arial"/>
        </w:rPr>
      </w:r>
    </w:p>
    <w:p ns2:paraId="6DD0F2B0" ns2:textId="4BAD10E3"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w:t>
      </w:r>
      <w:r>
        <w:rPr>
          <w:rFonts w:ascii="Arial" w:eastAsia="Arial" w:hAnsi="Arial"/>
        </w:rPr>
        <w:lastRenderedPageBreak/>
        <w:t xml:space="preserve">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 xml:space="preserve">he </w:t>
      </w:r>
      <w:r w:rsidR="003C2F95">
        <w:rPr>
          <w:rFonts w:ascii="Arial" w:eastAsia="Arial" w:hAnsi="Arial"/>
        </w:rPr>
        <w:t>ROC AUC</w:t>
      </w:r>
      <w:r>
        <w:rPr>
          <w:rFonts w:ascii="Arial" w:eastAsia="Arial" w:hAnsi="Arial"/>
        </w:rPr>
        <w:t xml:space="preserve"> is the probability that a randomly chosen structural-mechanism variant outranks a randomly chosen no-lesion variant, so 0.5 is chance and 1.0 is a perfect separation. </w:t>
      </w:r>
    </w:p>
    <w:p ns2:paraId="03FB2C06"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S2 Text and S4 Fig.</w:t>
      </w:r>
    </w:p>
    <w:p ns2:paraId="55D48CD0" ns2:textId="77777777" w:rsidR="005150BE" w:rsidRDefault="00000000">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6"/>
                    <a:stretch>
                      <a:fillRect/>
                    </a:stretch>
                  </ns6:blipFill>
                  <ns6:spPr>
                    <a:xfrm>
                      <a:off x="0" y="0"/>
                      <a:ext cx="6080760" cy="2274942"/>
                    </a:xfrm>
                    <a:prstGeom prst="rect">
                      <a:avLst/>
                    </a:prstGeom>
                  </ns6:spPr>
                </ns6:pic>
              </a:graphicData>
            </a:graphic>
          </wp:inline>
        </w:drawing>
      </w:r>
    </w:p>
    <w:p ns2:paraId="562AEEF6" ns2:textId="543CE165" w:rsidR="005150BE" w:rsidRDefault="00000000">
      <w:pPr>
        <w:pStyle w:val="Caption"/>
        <w:keepNext/>
        <w:spacing w:before="60"/>
      </w:pPr>
      <w:r>
        <w:rPr>
          <w:rFonts w:ascii="Arial" w:eastAsia="Arial" w:hAnsi="Arial"/>
        </w:rPr>
        <w:t xml:space="preserve">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Panel values are at the 2.5 kcal/mol reference threshold. </w:t>
      </w:r>
    </w:p>
    <w:p ns2:paraId="481E46AF" ns2:textId="77777777" w:rsidR="005150BE" w:rsidRDefault="00000000">
      <w:pPr>
        <w:pStyle w:val="Heading2"/>
      </w:pPr>
      <w:r>
        <w:t>3.4 The ranking does not bury a resolved mechanism, but the cohort is too small to test agreement</w:t>
      </w:r>
    </w:p>
    <w:p ns2:paraId="4C8A6FF4" ns2:textId="77777777" w:rsidR="005150BE" w:rsidRPr="0072679F" w:rsidRDefault="00000000">
      <w:pPr>
        <w:rPr>
          <w:rFonts w:ascii="Arial" w:hAnsi="Arial" w:cs="Arial"/>
        </w:rPr>
      </w:pPr>
      <w:commentRangeStart w:id="22"/>
      <w:r w:rsidRPr="0072679F">
        <w:rPr>
          <w:rFonts w:ascii="Arial" w:hAnsi="Arial" w:cs="Arial"/>
        </w:rPr>
        <w:t>No variant whose mechanism COMAVI resolves falls outside the top 20: every fully consistent grade sits inside the cut. That is the result this crossing was built to test, because a variant ranked highly but graded inconsistent would send a user to the right protein with the wrong experiment. What the crossing cannot establish is how strongly rank and grade track each other, and the reason is itself informative. Of the 17 variants with a modeled structural mechanism, 16 fall inside the top 20 and the one outside ranks 21st, immediately below the cut, so there is almost no population outside the cut to contrast against. The mean rubric grade (Table 2)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figures sit below the 0.719 whole-cohort score because they are computed within the structural class alone, where the mean grade is 0.588.</w:t>
      </w:r>
      <w:r w:rsidRPr="0072679F">
        <w:rPr>
          <w:rFonts w:ascii="Arial" w:hAnsi="Arial" w:cs="Arial"/>
        </w:rPr>
      </w:r>
      <w:commentRangeEnd w:id="22"/>
      <w:r w:rsidR="0089515D" w:rsidRPr="0072679F">
        <w:rPr>
          <w:rStyle w:val="CommentReference"/>
          <w:rFonts w:ascii="Arial" w:hAnsi="Arial" w:cs="Arial"/>
          <w:sz w:val="21"/>
          <w:szCs w:val="22"/>
        </w:rPr>
      </w:r>
    </w:p>
    <w:p ns2:paraId="75F5CF4F" ns2:textId="77777777" w:rsidR="005150BE" w:rsidRPr="0072679F" w:rsidRDefault="00000000">
      <w:pPr>
        <w:rPr>
          <w:rFonts w:ascii="Arial" w:hAnsi="Arial" w:cs="Arial"/>
        </w:rPr>
      </w:pPr>
      <w:r w:rsidRPr="0072679F">
        <w:rPr>
          <w:rFonts w:ascii="Arial" w:hAnsi="Arial" w:cs="Arial"/>
        </w:rPr>
        <w:t>Within the top 20 the grades are 5 consistent, 9 partial and 2 inconsistent, and the two inconsistent cases are the failure mode this crossing exists to expose: correctly prioritized, incorrectly explained. MLH1 R755W at rank 11 and PIK3CA E545K at rank 15 fail the same way. FoldX returns a large negative interaction energy for each, -9.7 and -4.6 kcal/mol, which the classifier reads as strengthened binding, so both are called PPI stabilization at the reference threshold. For E545K that is the right axis in the wrong direction: the literature attributes its effect to loss of the nSH2 inhibitory contact, and a rigid-body interaction energy cannot distinguish a tighter contact from the loss of an inhibitory one, because releasing autoinhibition is energetically favorable. For R755W both the axis and the direction are wrong: the measured phenotype is reduced cellular abundance with binding preserved, and the two stability predictions, 0.97 kcal/mol in the isolated subunit and -0.94 in the complex, both fall below the threshold, so no stability lesion is called. The only structural mechanism outside the cut is HBB W37Y at rank 21, and it is graded partial rather than inconsistent, so the ranking and the grading do not fail on disjoint variants. S3 Text reports the full crossing.</w:t>
      </w:r>
      <w:commentRangeStart w:id="23"/>
      <w:r w:rsidRPr="0072679F">
        <w:rPr>
          <w:rFonts w:ascii="Arial" w:hAnsi="Arial" w:cs="Arial"/>
        </w:rPr>
      </w:r>
      <w:commentRangeEnd w:id="23"/>
      <w:r w:rsidR="0089515D" w:rsidRPr="0072679F">
        <w:rPr>
          <w:rStyle w:val="CommentReference"/>
          <w:rFonts w:ascii="Arial" w:hAnsi="Arial" w:cs="Arial"/>
          <w:sz w:val="21"/>
          <w:szCs w:val="22"/>
        </w:rPr>
      </w:r>
      <w:r w:rsidRPr="0072679F">
        <w:rPr>
          <w:rFonts w:ascii="Arial" w:hAnsi="Arial" w:cs="Arial"/>
        </w:rPr>
      </w:r>
    </w:p>
    <w:p ns2:paraId="721F0A93" ns2:textId="77777777" w:rsidR="005150BE" w:rsidRDefault="00000000">
      <w:pPr>
        <w:pStyle w:val="Heading2"/>
      </w:pPr>
      <w:r>
        <w:t>3.5 Stringency costs attribution, not detection, and the three axes disagree on the optimum</w:t>
      </w:r>
    </w:p>
    <w:p ns2:paraId="2BE5936D" ns2:textId="787C75A4" w:rsidR="005150BE" w:rsidRDefault="00000000">
      <w:r>
        <w:rPr>
          <w:rFonts w:ascii="Arial" w:eastAsia="Arial" w:hAnsi="Arial"/>
        </w:rPr>
        <w:t>COMAVI's outputs are continuous, so the threshold is an instrument of this evaluation rather than a parameter of the pipeline (Section 2.6). Every graded number in Sections 3.2 and 3.4 depends on that single choice. The 2.5 kcal/mol threshold maximizes both the pooled mechanism-pattern score (0.719, against 0.579 at 1.0 kcal/mol and 0.711 at the prediction-interval bound) and its prevalence-balanced form, the unweighted mean of the structural and rejection arms, which removes the effect of the cohort holding more curated negatives than committed mechanisms. The prediction-interval bound is the most stringent point in the prespecified set, and because it is per axis it appears at the right-hand end of every panel in Fig 4 rather than at a position on a continuous scale.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prediction-interval bound. What falls at every step is attribution: 19 of 25 at 1.0 kcal/mol, then 17, 16, 14 at the reference and 12 at the most conservative point. Correct rejection rises at every step over the same range: 5 of 32, then 19, 23, 26 and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falls at every subsequent step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r w:rsidR="0089515D">
        <w:rPr>
          <w:rFonts w:ascii="Arial" w:eastAsia="Arial" w:hAnsi="Arial"/>
        </w:rPr>
      </w:r>
      <w:r>
        <w:rPr>
          <w:rFonts w:ascii="Arial" w:eastAsia="Arial" w:hAnsi="Arial"/>
        </w:rPr>
      </w:r>
      <w:r w:rsidR="0089515D">
        <w:rPr>
          <w:rFonts w:ascii="Arial" w:eastAsia="Arial" w:hAnsi="Arial"/>
        </w:rPr>
      </w:r>
      <w:r>
        <w:rPr>
          <w:rFonts w:ascii="Arial" w:eastAsia="Arial" w:hAnsi="Arial"/>
        </w:rPr>
      </w:r>
      <w:commentRangeStart w:id="24"/>
      <w:r>
        <w:rPr>
          <w:rFonts w:ascii="Arial" w:eastAsia="Arial" w:hAnsi="Arial"/>
        </w:rPr>
      </w:r>
      <w:commentRangeEnd w:id="24"/>
      <w:r w:rsidR="0089515D">
        <w:rPr>
          <w:rStyle w:val="CommentReference"/>
          <w:rFonts w:ascii="Arial" w:eastAsia="Arial" w:hAnsi="Arial"/>
          <w:sz w:val="21"/>
          <w:szCs w:val="22"/>
        </w:rPr>
      </w:r>
      <w:r>
        <w:rPr>
          <w:rFonts w:ascii="Arial" w:eastAsia="Arial" w:hAnsi="Arial"/>
        </w:rPr>
      </w:r>
      <w:r>
        <w:rPr>
          <w:rFonts w:ascii="Arial" w:eastAsia="Arial" w:hAnsi="Arial"/>
        </w:rPr>
      </w:r>
    </w:p>
    <w:p ns2:paraId="21559757" ns2:textId="77777777" w:rsidR="005150BE" w:rsidRDefault="00000000">
      <w:pPr>
        <w:keepNext/>
        <w:spacing w:before="80" w:after="20"/>
        <w:jc w:val="center"/>
      </w:pPr>
      <w:r>
        <w:rPr>
          <w:noProof/>
        </w:rPr>
        <w:lastRenderedPageBreak/>
        <w:drawing>
          <wp:inline distT="0" distB="0" distL="0" distR="0">
            <wp:extent cx="7153275" cy="4347167"/>
            <wp:effectExtent l="0" t="0" r="0" b="0"/>
            <wp:docPr id="21" name="Picture 21"/>
            <a:graphic>
              <a:graphicData uri="http://schemas.openxmlformats.org/drawingml/2006/picture">
                <ns6:pic>
                  <ns6:nvPicPr>
                    <ns6:cNvPr id="0" name="COMAVI_Figure_threshold_sweep.png"/>
                    <ns6:cNvPicPr/>
                  </ns6:nvPicPr>
                  <ns6:blipFill>
                    <a:blip r:embed="rId17"/>
                    <a:stretch>
                      <a:fillRect/>
                    </a:stretch>
                  </ns6:blipFill>
                  <ns6:spPr>
                    <a:xfrm>
                      <a:off x="0" y="0"/>
                      <a:ext cx="7153275" cy="4347167"/>
                    </a:xfrm>
                    <a:prstGeom prst="rect">
                      <a:avLst/>
                    </a:prstGeom>
                  </ns6:spPr>
                </ns6:pic>
              </a:graphicData>
            </a:graphic>
          </wp:inline>
        </w:drawing>
      </w:r>
    </w:p>
    <w:p ns2:paraId="6B9B96CE"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at every step,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prediction-interval bound are reported in S2 Table (threshold_sweep sheet) and are not part of the prespecified set.</w:t>
      </w:r>
    </w:p>
    <w:p ns2:paraId="4AF55180" ns2:textId="77777777" w:rsidR="005150BE" w:rsidRDefault="00000000">
      <w:pPr>
        <w:pStyle w:val="Caption"/>
        <w:keepNext/>
      </w:pPr>
      <w:r>
        <w:rPr>
          <w:rFonts w:ascii="Arial" w:eastAsia="Arial" w:hAnsi="Arial"/>
        </w:rPr>
        <w:lastRenderedPageBreak/>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657DE957" ns2:textId="77777777">
        <w:trPr>
          <w:cantSplit/>
          <w:tblHeader/>
          <w:jc w:val="center"/>
        </w:trPr>
        <w:tc>
          <w:tcPr>
            <w:tcW w:w="1699" w:type="dxa"/>
            <w:shd w:val="clear" w:color="auto" w:fill="17324D"/>
            <w:tcMar>
              <w:top w:w="60" w:type="dxa"/>
              <w:left w:w="70" w:type="dxa"/>
              <w:bottom w:w="60" w:type="dxa"/>
              <w:right w:w="70" w:type="dxa"/>
            </w:tcMar>
            <w:vAlign w:val="center"/>
          </w:tcPr>
          <w:p ns2:paraId="40446E4C" ns2:textId="77777777" w:rsidR="005150BE" w:rsidRDefault="00000000">
            <w:r>
              <w:rPr>
                <w:sz w:val="15"/>
              </w:rPr>
              <w:t>Energy threshold</w:t>
            </w:r>
          </w:p>
        </w:tc>
        <w:tc>
          <w:tcPr>
            <w:tcW w:w="1325" w:type="dxa"/>
            <w:shd w:val="clear" w:color="auto" w:fill="17324D"/>
            <w:tcMar>
              <w:top w:w="60" w:type="dxa"/>
              <w:left w:w="70" w:type="dxa"/>
              <w:bottom w:w="60" w:type="dxa"/>
              <w:right w:w="70" w:type="dxa"/>
            </w:tcMar>
            <w:vAlign w:val="center"/>
          </w:tcPr>
          <w:p ns2:paraId="1C482870"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7440777"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27DF0B3E"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2BF070A" ns2:textId="77777777" w:rsidR="005150BE" w:rsidRDefault="00000000">
            <w:pPr>
              <w:spacing w:after="0" w:line="240" w:lineRule="auto"/>
            </w:pPr>
            <w:r>
              <w:rPr>
                <w:b/>
                <w:color w:val="FFFFFF"/>
                <w:sz w:val="15"/>
              </w:rPr>
              <w:t>Recommended interpretation</w:t>
            </w:r>
          </w:p>
        </w:tc>
      </w:tr>
      <w:tr w:rsidR="005150BE" ns2:paraId="3DE2722D" ns2:textId="77777777">
        <w:trPr>
          <w:cantSplit/>
          <w:jc w:val="center"/>
        </w:trPr>
        <w:tc>
          <w:tcPr>
            <w:tcW w:w="1699" w:type="dxa"/>
            <w:tcMar>
              <w:top w:w="60" w:type="dxa"/>
              <w:left w:w="70" w:type="dxa"/>
              <w:bottom w:w="60" w:type="dxa"/>
              <w:right w:w="70" w:type="dxa"/>
            </w:tcMar>
            <w:vAlign w:val="center"/>
          </w:tcPr>
          <w:p ns2:paraId="2A6D9F39"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4A8227C5"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7E3C9724"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757F3377"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2BE651F2" ns2:textId="77777777" w:rsidR="005150BE" w:rsidRDefault="00000000">
            <w:r>
              <w:rPr>
                <w:sz w:val="15"/>
              </w:rPr>
              <w:t>Screening default; use when missing a mechanism is more costly than extra follow-up.</w:t>
            </w:r>
          </w:p>
        </w:tc>
      </w:tr>
      <w:tr w:rsidR="005150BE" ns2:paraId="775E326E" ns2:textId="77777777">
        <w:trPr>
          <w:cantSplit/>
          <w:jc w:val="center"/>
        </w:trPr>
        <w:tc>
          <w:tcPr>
            <w:tcW w:w="1699" w:type="dxa"/>
            <w:shd w:val="clear" w:color="auto" w:fill="F7F9FB"/>
            <w:tcMar>
              <w:top w:w="60" w:type="dxa"/>
              <w:left w:w="70" w:type="dxa"/>
              <w:bottom w:w="60" w:type="dxa"/>
              <w:right w:w="70" w:type="dxa"/>
            </w:tcMar>
            <w:vAlign w:val="center"/>
          </w:tcPr>
          <w:p ns2:paraId="33430A35"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2DEB4F46"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374CF6DD"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1EA74C3C"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13246C5F" ns2:textId="77777777" w:rsidR="005150BE" w:rsidRDefault="00000000">
            <w:r>
              <w:rPr>
                <w:sz w:val="15"/>
              </w:rPr>
              <w:t>Lower-intermediate stringency.</w:t>
            </w:r>
          </w:p>
        </w:tc>
      </w:tr>
      <w:tr w:rsidR="005150BE" ns2:paraId="2A7E812F" ns2:textId="77777777">
        <w:trPr>
          <w:cantSplit/>
          <w:jc w:val="center"/>
        </w:trPr>
        <w:tc>
          <w:tcPr>
            <w:tcW w:w="1699" w:type="dxa"/>
            <w:tcMar>
              <w:top w:w="60" w:type="dxa"/>
              <w:left w:w="70" w:type="dxa"/>
              <w:bottom w:w="60" w:type="dxa"/>
              <w:right w:w="70" w:type="dxa"/>
            </w:tcMar>
            <w:vAlign w:val="center"/>
          </w:tcPr>
          <w:p ns2:paraId="73C18F75"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63A9721D"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768BB10D"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68143CDA"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6B6F5E38" ns2:textId="77777777" w:rsidR="005150BE" w:rsidRDefault="00000000">
            <w:r>
              <w:rPr>
                <w:sz w:val="15"/>
              </w:rPr>
              <w:t>Upper-intermediate stringency.</w:t>
            </w:r>
          </w:p>
        </w:tc>
      </w:tr>
      <w:tr w:rsidR="005150BE" ns2:paraId="2527026D" ns2:textId="77777777">
        <w:trPr>
          <w:cantSplit/>
          <w:jc w:val="center"/>
        </w:trPr>
        <w:tc>
          <w:tcPr>
            <w:tcW w:w="1699" w:type="dxa"/>
            <w:shd w:val="clear" w:color="auto" w:fill="F7F9FB"/>
            <w:tcMar>
              <w:top w:w="60" w:type="dxa"/>
              <w:left w:w="70" w:type="dxa"/>
              <w:bottom w:w="60" w:type="dxa"/>
              <w:right w:w="70" w:type="dxa"/>
            </w:tcMar>
            <w:vAlign w:val="center"/>
          </w:tcPr>
          <w:p ns2:paraId="522E9ED9"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90BC34"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0890FAC6"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3CF13647"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CBC0C0D" ns2:textId="77777777" w:rsidR="005150BE" w:rsidRDefault="00000000">
            <w:r>
              <w:rPr>
                <w:sz w:val="15"/>
              </w:rPr>
              <w:t>Frozen benchmark reference; relatively stringent, but not maximally conservative.</w:t>
            </w:r>
          </w:p>
        </w:tc>
      </w:tr>
      <w:tr w:rsidR="005150BE" ns2:paraId="3828EFB1" ns2:textId="77777777">
        <w:trPr>
          <w:cantSplit/>
          <w:jc w:val="center"/>
        </w:trPr>
        <w:tc>
          <w:tcPr>
            <w:tcW w:w="1699" w:type="dxa"/>
            <w:tcMar>
              <w:top w:w="60" w:type="dxa"/>
              <w:left w:w="70" w:type="dxa"/>
              <w:bottom w:w="60" w:type="dxa"/>
              <w:right w:w="70" w:type="dxa"/>
            </w:tcMar>
            <w:vAlign w:val="center"/>
          </w:tcPr>
          <w:p ns2:paraId="6494CFCF" ns2:textId="77777777" w:rsidR="005150BE" w:rsidRDefault="00000000">
            <w:pPr>
              <w:spacing w:after="0" w:line="240" w:lineRule="auto"/>
            </w:pPr>
            <w:r>
              <w:rPr>
                <w:sz w:val="15"/>
              </w:rPr>
              <w:t>Prediction-interval bound 2.9/2.9/3.5</w:t>
            </w:r>
          </w:p>
        </w:tc>
        <w:tc>
          <w:tcPr>
            <w:tcW w:w="1325" w:type="dxa"/>
            <w:tcMar>
              <w:top w:w="60" w:type="dxa"/>
              <w:left w:w="70" w:type="dxa"/>
              <w:bottom w:w="60" w:type="dxa"/>
              <w:right w:w="70" w:type="dxa"/>
            </w:tcMar>
            <w:vAlign w:val="center"/>
          </w:tcPr>
          <w:p ns2:paraId="3BF52B97"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47960F34"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62D22571"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32F33AF1" ns2:textId="77777777" w:rsidR="005150BE" w:rsidRDefault="00000000">
            <w:r>
              <w:rPr>
                <w:sz w:val="15"/>
              </w:rPr>
              <w:t>Most conservative setting evaluated; use when false mechanistic claims are especially costly.</w:t>
            </w:r>
          </w:p>
        </w:tc>
      </w:tr>
    </w:tbl>
    <w:p ns2:paraId="15801F5D" ns2:textId="77777777" w:rsidR="005150BE" w:rsidRPr="0098765A" w:rsidRDefault="00000000">
      <w:pPr>
        <w:rPr>
          <w:rFonts w:ascii="Arial" w:hAnsi="Arial" w:cs="Arial"/>
          <w:szCs w:val="21"/>
        </w:rPr>
      </w:pPr>
      <w:r w:rsidRPr="0098765A">
        <w:rPr>
          <w:rFonts w:ascii="Arial" w:hAnsi="Arial" w:cs="Arial"/>
          <w:szCs w:val="21"/>
        </w:rPr>
        <w:t>The structural arm is the mean rubric grade among the 25 variants with a committed structural mechanism; the rejection arm is the same grade among the 32 curated to lack a lesion on the modeled axes. Measured destabilizations called is computed on a different population and asks something else, counting how many of 44 variant-axis comparisons carrying a directly measured destabilizing energy have |predicted ΔΔG| at or above the stated threshold; Table 3 separates these.</w:t>
      </w:r>
    </w:p>
    <w:p ns2:paraId="6F3FDFE4" ns2:textId="77777777" w:rsidR="005150BE" w:rsidRPr="00407BA1" w:rsidRDefault="00000000">
      <w:pPr>
        <w:rPr>
          <w:rFonts w:ascii="Arial" w:hAnsi="Arial" w:cs="Arial"/>
        </w:rPr>
      </w:pPr>
      <w:r w:rsidRPr="00407BA1">
        <w:rPr>
          <w:rFonts w:ascii="Arial" w:hAnsi="Arial" w:cs="Arial"/>
        </w:rPr>
        <w:t>The same tradeoff appeared in measured-energy comparisons. Of 44 experimentally destabilizing effects, 35 were detected at the 1.0 kcal/mol default, 13 at the 2.5 kcal/mol reference, and 12 at the prediction-interval bound. Thus a conservative threshold can miss a real effect even when the measured destabilization is large.</w:t>
      </w:r>
    </w:p>
    <w:p ns2:paraId="007D1502" ns2:textId="77777777" w:rsidR="005150BE" w:rsidRDefault="00000000">
      <w:pPr>
        <w:pStyle w:val="Heading2"/>
      </w:pPr>
      <w:r>
        <w:t>3.6 The predicted energies are anchored to direct measurements, and compress at large effect sizes</w:t>
      </w:r>
    </w:p>
    <w:p ns2:paraId="599BA5D9" ns2:textId="13B8DFC4" w:rsidR="005150BE" w:rsidRPr="00407BA1" w:rsidRDefault="00000000">
      <w:pPr>
        <w:rPr>
          <w:rFonts w:ascii="Arial" w:hAnsi="Arial" w:cs="Arial"/>
        </w:rPr>
      </w:pPr>
      <w:r w:rsidRPr="00407BA1">
        <w:rPr>
          <w:rFonts w:ascii="Arial" w:hAnsi="Arial" w:cs="Arial"/>
        </w:rPr>
        <w:t>The threshold menu in Section 3.5 assumes the predicted energies are meaningful quantities rather than an arbitrary scale, and that assumption is testable wherever the benchmark carries a directly measured energy for the same substitution. Those comparisons explain the shape of the tradeoff above: the predictor orders effects well but understates their size, so a threshold chosen on the measured scale is systematically too strict when applied to predictions.</w:t>
      </w:r>
      <w:commentRangeStart w:id="25"/>
      <w:r w:rsidRPr="00407BA1">
        <w:rPr>
          <w:rFonts w:ascii="Arial" w:hAnsi="Arial" w:cs="Arial"/>
        </w:rPr>
      </w:r>
      <w:commentRangeEnd w:id="25"/>
      <w:r w:rsidR="0098765A" w:rsidRPr="00407BA1">
        <w:rPr>
          <w:rStyle w:val="CommentReference"/>
          <w:rFonts w:ascii="Arial" w:hAnsi="Arial" w:cs="Arial"/>
          <w:sz w:val="21"/>
          <w:szCs w:val="22"/>
        </w:rPr>
      </w:r>
      <w:r w:rsidRPr="00407BA1">
        <w:rPr>
          <w:rFonts w:ascii="Arial" w:hAnsi="Arial" w:cs="Arial"/>
        </w:rPr>
      </w:r>
    </w:p>
    <w:p ns2:paraId="4336518C" ns2:textId="77777777" w:rsidR="005150BE" w:rsidRPr="00407BA1" w:rsidRDefault="00000000">
      <w:pPr>
        <w:rPr>
          <w:rFonts w:ascii="Arial" w:hAnsi="Arial" w:cs="Arial"/>
        </w:rPr>
      </w:pPr>
      <w:r w:rsidRPr="00407BA1">
        <w:rPr>
          <w:rFonts w:ascii="Arial" w:hAnsi="Arial" w:cs="Arial"/>
        </w:rPr>
        <w:lastRenderedPageBreak/>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15E33364" ns2:textId="77777777" w:rsidR="005150BE" w:rsidRDefault="00000000">
      <w:pPr>
        <w:keepNext/>
        <w:spacing w:before="80" w:after="20"/>
        <w:jc w:val="center"/>
      </w:pPr>
      <w:r>
        <w:rPr>
          <w:noProof/>
        </w:rPr>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8"/>
                    <a:stretch>
                      <a:fillRect/>
                    </a:stretch>
                  </ns6:blipFill>
                  <ns6:spPr>
                    <a:xfrm>
                      <a:off x="0" y="0"/>
                      <a:ext cx="6080760" cy="2283700"/>
                    </a:xfrm>
                    <a:prstGeom prst="rect">
                      <a:avLst/>
                    </a:prstGeom>
                  </ns6:spPr>
                </ns6:pic>
              </a:graphicData>
            </a:graphic>
          </wp:inline>
        </w:drawing>
      </w:r>
    </w:p>
    <w:p ns2:paraId="48373A66"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09C8484E" ns2:textId="77777777" w:rsidR="005150BE" w:rsidRDefault="00000000">
      <w:r>
        <w:rPr>
          <w:rFonts w:ascii="Arial" w:eastAsia="Arial" w:hAnsi="Arial"/>
        </w:rPr>
        <w:t>Direct within-system measurements supported two axes: rank correlation was 0.72 for the BRCA1 isolated-subunit series and 0.90 for hemoglobin binding [24,48,49].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638A855E" ns2:textId="77777777" w:rsidR="005150BE" w:rsidRDefault="00000000">
      <w:pPr>
        <w:keepNext/>
        <w:spacing w:before="80" w:after="20"/>
        <w:jc w:val="center"/>
      </w:pPr>
      <w:r>
        <w:rPr>
          <w:noProof/>
        </w:rPr>
        <w:lastRenderedPageBreak/>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9"/>
                    <a:stretch>
                      <a:fillRect/>
                    </a:stretch>
                  </ns6:blipFill>
                  <ns6:spPr>
                    <a:xfrm>
                      <a:off x="0" y="0"/>
                      <a:ext cx="6080760" cy="3026291"/>
                    </a:xfrm>
                    <a:prstGeom prst="rect">
                      <a:avLst/>
                    </a:prstGeom>
                  </ns6:spPr>
                </ns6:pic>
              </a:graphicData>
            </a:graphic>
          </wp:inline>
        </w:drawing>
      </w:r>
    </w:p>
    <w:p ns2:paraId="542B475B" ns2:textId="77777777" w:rsidR="005150BE" w:rsidRPr="00407BA1" w:rsidRDefault="00000000">
      <w:pPr>
        <w:pStyle w:val="Caption"/>
        <w:keepNext/>
        <w:spacing w:before="60"/>
        <w:rPr>
          <w:rFonts w:ascii="Arial" w:hAnsi="Arial" w:cs="Arial"/>
        </w:rPr>
      </w:pPr>
      <w:r w:rsidRPr="00407BA1">
        <w:rPr>
          <w:rFonts w:ascii="Arial" w:hAnsi="Arial" w:cs="Arial"/>
        </w:rP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1B5D5098" ns2:textId="77777777" w:rsidR="005150BE" w:rsidRPr="00407BA1" w:rsidRDefault="00000000">
      <w:pPr>
        <w:rPr>
          <w:rFonts w:ascii="Arial" w:hAnsi="Arial" w:cs="Arial"/>
        </w:rPr>
      </w:pPr>
      <w:r w:rsidRPr="00407BA1">
        <w:rPr>
          <w:rFonts w:ascii="Arial" w:hAnsi="Arial" w:cs="Arial"/>
        </w:rP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65E98539" ns2:textId="77777777" w:rsidR="005150BE" w:rsidRDefault="00000000">
      <w:pPr>
        <w:pStyle w:val="Heading2"/>
      </w:pPr>
      <w:r>
        <w:lastRenderedPageBreak/>
        <w:t>3.7 COMAVI is not a pathogenicity classifier, and the two rankings answer different questions</w:t>
      </w:r>
    </w:p>
    <w:p ns2:paraId="4AA8C9C7" ns2:textId="4A3CD7BA"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4851AA9D" ns2:textId="77777777" w:rsidR="005150BE" w:rsidRPr="00407BA1" w:rsidRDefault="00000000">
      <w:pPr>
        <w:rPr>
          <w:rFonts w:ascii="Arial" w:hAnsi="Arial" w:cs="Arial"/>
        </w:rPr>
      </w:pPr>
      <w:r w:rsidRPr="00407BA1">
        <w:rPr>
          <w:rFonts w:ascii="Arial" w:hAnsi="Arial" w:cs="Arial"/>
        </w:rP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shows the converse: a multimer-aware profile identifies a binding-specific hypothesis that a pathogenicity score cannot name. VWF R1334Q makes the same point from outside this comparison, since AlphaMissense returns no score for it and it is therefore absent from the complete-case population - a coverage limit that a structural profile does not share.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r w:rsidRPr="00407BA1">
        <w:rPr>
          <w:rFonts w:ascii="Arial" w:hAnsi="Arial" w:cs="Arial"/>
        </w:rPr>
      </w:r>
    </w:p>
    <w:p ns2:paraId="000B2247" ns2:textId="77777777" w:rsidR="005150BE" w:rsidRDefault="00000000">
      <w:pPr>
        <w:keepNext/>
        <w:spacing w:before="80" w:after="20"/>
        <w:jc w:val="center"/>
      </w:pPr>
      <w:commentRangeStart w:id="26"/>
      <w:commentRangeStart w:id="27"/>
      <w:commentRangeStart w:id="28"/>
      <w:r>
        <w:rPr>
          <w:noProof/>
        </w:rPr>
        <w:drawing>
          <wp:inline distT="0" distB="0" distL="0" distR="0" ns4:anchorId="6B4D0D55" ns4:editId="060577F5">
            <wp:extent cx="5989320" cy="4546740"/>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20"/>
                    <a:stretch>
                      <a:fillRect/>
                    </a:stretch>
                  </ns6:blipFill>
                  <ns6:spPr>
                    <a:xfrm>
                      <a:off x="0" y="0"/>
                      <a:ext cx="5989320" cy="4546740"/>
                    </a:xfrm>
                    <a:prstGeom prst="rect">
                      <a:avLst/>
                    </a:prstGeom>
                  </ns6:spPr>
                </ns6:pic>
              </a:graphicData>
            </a:graphic>
          </wp:inline>
        </w:drawing>
      </w:r>
      <w:commentRangeEnd w:id="28"/>
      <w:r w:rsidR="00407BA1">
        <w:rPr>
          <w:rStyle w:val="CommentReference"/>
          <w:sz w:val="21"/>
          <w:szCs w:val="22"/>
        </w:rPr>
        <w:commentReference w:id="28"/>
      </w:r>
      <w:commentRangeEnd w:id="26"/>
      <w:r w:rsidR="006A670E">
        <w:rPr>
          <w:rStyle w:val="CommentReference"/>
          <w:sz w:val="21"/>
          <w:szCs w:val="22"/>
        </w:rPr>
        <w:commentReference w:id="26"/>
      </w:r>
      <w:commentRangeEnd w:id="27"/>
      <w:r w:rsidR="006A670E">
        <w:rPr>
          <w:rStyle w:val="CommentReference"/>
          <w:sz w:val="21"/>
          <w:szCs w:val="22"/>
        </w:rPr>
        <w:commentReference w:id="27"/>
      </w:r>
    </w:p>
    <w:p ns2:paraId="462EBE15"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The two discordant variants discussed in the text, HBB E6V and CFH R78G, are labelled.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0A3EFFA1" ns2:textId="77777777" w:rsidR="005150BE" w:rsidRPr="003759B8" w:rsidRDefault="00000000">
      <w:pPr>
        <w:rPr>
          <w:rFonts w:ascii="Arial" w:hAnsi="Arial" w:cs="Arial"/>
        </w:rPr>
      </w:pPr>
      <w:r w:rsidRPr="003759B8">
        <w:rPr>
          <w:rFonts w:ascii="Arial" w:hAnsi="Arial" w:cs="Arial"/>
        </w:rPr>
        <w:t xml:space="preserve">Silent structural results occurred in both pathogenic and benign variants in this selected benchmark (S3 Text), so silence does not distinguish the two. That observation is the reason the transferable conclusion is asymmetric: a positive structural call supplies a testable hypothesis, whereas a silent call provides little </w:t>
      </w:r>
      <w:r w:rsidRPr="003759B8">
        <w:rPr>
          <w:rFonts w:ascii="Arial" w:hAnsi="Arial" w:cs="Arial"/>
        </w:rPr>
        <w:lastRenderedPageBreak/>
        <w:t>evidence against pathogenicity, because the mechanism may simply lie outside what the supplied model can represent.</w:t>
      </w:r>
    </w:p>
    <w:p ns2:paraId="2DE175FE" ns2:textId="77777777" w:rsidR="005150BE" w:rsidRPr="003759B8" w:rsidRDefault="00000000">
      <w:pPr>
        <w:rPr>
          <w:rFonts w:ascii="Arial" w:hAnsi="Arial" w:cs="Arial"/>
        </w:rPr>
      </w:pPr>
      <w:r w:rsidRPr="003759B8">
        <w:rPr>
          <w:rFonts w:ascii="Arial" w:hAnsi="Arial" w:cs="Arial"/>
        </w:rP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3D785516" ns2:textId="77777777" w:rsidR="005150BE" w:rsidRDefault="00000000">
      <w:pPr>
        <w:pStyle w:val="Heading1"/>
        <w:spacing w:after="50"/>
      </w:pPr>
      <w:r>
        <w:t>4. Discussion</w:t>
      </w:r>
    </w:p>
    <w:p ns2:paraId="4C64EF3A" ns2:textId="77777777" w:rsidR="005150BE" w:rsidRDefault="00000000">
      <w:pPr>
        <w:pStyle w:val="Heading2"/>
      </w:pPr>
      <w:r>
        <w:t>4.1 Two linked outputs answer two practical questions</w:t>
      </w:r>
    </w:p>
    <w:p ns2:paraId="573A73CA" ns2:textId="77777777" w:rsidR="005150BE" w:rsidRDefault="00000000">
      <w:r>
        <w:rPr>
          <w:rFonts w:ascii="Arial" w:eastAsia="Arial" w:hAnsi="Arial"/>
        </w:rPr>
        <w:t>COMAVI helps answer two practical questions: which variants deserve structural follow-up, and which experiment should test the predicted effect. Section 3.2 gives the mechanism result and Section 3.3 the prioritization result; what matters for use is that they fail differently. The prioritization result is threshold-free, because the priority score applies no cut-off and its positive class comes from the curated mechanism class, so no part of it moves when the threshold changes. The mechanism result depends entirely on the threshold at which a continuous energy becomes a call. These results support mechanism-directed triage and prioritization within the present literature-curated resource.</w:t>
      </w:r>
    </w:p>
    <w:p ns2:paraId="7878DF8D" ns2:textId="0960978D" w:rsidR="005150BE" w:rsidRDefault="003759B8">
      <w:r>
        <w:rPr>
          <w:rFonts w:ascii="Arial" w:eastAsia="Arial" w:hAnsi="Arial"/>
        </w:rPr>
        <w:t>The existing tool most like COMAVI is MAVISp. 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COMAVI incorporates separate important features.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Second, an evaluation framework: mechanism attribution scored against literature-defined per-axis expectations, where their validation reports per-protein case narratives and predictor-style sensitivity and specificity against clinical labels. The two are therefore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[15].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w:t>
      </w:r>
      <w:r w:rsidR="006A670E">
        <w:rPr>
          <w:rFonts w:ascii="Arial" w:eastAsia="Arial" w:hAnsi="Arial"/>
        </w:rPr>
      </w:r>
      <w:r>
        <w:rPr>
          <w:rFonts w:ascii="Arial" w:eastAsia="Arial" w:hAnsi="Arial"/>
        </w:rPr>
      </w:r>
      <w:r>
        <w:rPr>
          <w:rFonts w:ascii="Arial" w:eastAsia="Arial" w:hAnsi="Arial"/>
        </w:rPr>
      </w:r>
    </w:p>
    <w:p>
      <w:pPr/>
      <w:r>
        <w:t>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Section 3.7 shows how that decomposition maps to a choice of experiment, and where a missing structural state must limit interpretation.</w:t>
      </w:r>
    </w:p>
    <w:p ns2:paraId="502515E3" ns2:textId="77777777"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39C5946F" ns2:textId="77777777" w:rsidR="005150BE" w:rsidRDefault="00000000">
      <w:pPr>
        <w:pStyle w:val="Heading2"/>
      </w:pPr>
      <w:r>
        <w:lastRenderedPageBreak/>
        <w:t>4.2 How to use COMAVI: rank, interpret, and test</w:t>
      </w:r>
    </w:p>
    <w:p ns2:paraId="6BDC4089" ns2:textId="45872DEC" w:rsidR="005150BE" w:rsidRDefault="00000000">
      <w:r>
        <w:rPr>
          <w:rFonts w:ascii="Arial" w:eastAsia="Arial" w:hAnsi="Arial"/>
        </w:rPr>
        <w:t>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S1 Table (benchmark_variants sheet) reports the graded call for every variant at all five thresholds, and 21 of the 57 graded variants change their call somewhere in that range. The threshold is an input to the grading, not an output of the pipeline, and the per-axis energies, the mechanism profile and the priority score are reported as continuous values from which a call at any threshold can be recomputed, and a user interested in one partner can look at that partner alone. S1 Table (benchmark_variants sheet) reports this record for every benchmark variant. Threshold choice should follow the cost of error. The 1.0 kcal/mol default is screening-oriented; 1.5-2.0 provides intermediate stringency; 2.5 is the frozen benchmark reference; and the prediction-interval bound is the most conservative point evaluated. Lower thresholds are preferable when missing a candidate mechanism is more costly, whereas higher thresholds are preferable when false structural assertions are more costly.</w:t>
      </w:r>
    </w:p>
    <w:p ns2:paraId="7BA4BC48" ns2:textId="77777777" w:rsidR="005150BE" w:rsidRPr="003759B8" w:rsidRDefault="00000000">
      <w:pPr>
        <w:rPr>
          <w:rFonts w:ascii="Arial" w:hAnsi="Arial" w:cs="Arial"/>
        </w:rPr>
      </w:pPr>
      <w:r w:rsidRPr="003759B8">
        <w:rPr>
          <w:rFonts w:ascii="Arial" w:hAnsi="Arial" w:cs="Arial"/>
        </w:rP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9D80160" ns2:textId="49574E5F" w:rsidR="005150BE" w:rsidRPr="003759B8" w:rsidRDefault="00000000">
      <w:pPr>
        <w:rPr>
          <w:rFonts w:ascii="Arial" w:hAnsi="Arial" w:cs="Arial"/>
        </w:rPr>
      </w:pPr>
      <w:r w:rsidRPr="003759B8">
        <w:rPr>
          <w:rFonts w:ascii="Arial" w:hAnsi="Arial" w:cs="Arial"/>
        </w:rPr>
        <w:t>COMAVI should be used alongside pathogenicity predictors, population evidence, functional assays, and clinical interpretation frameworks such as Franklin [50]. When implementing COMAVI, use the priority score to allocate attention, then use the signed mechanism profile and model limitations to design the experiment. Pathogenicity evidence remains a separate question. The comparison in Section 3.7 shows what a pathogenicity score displayed alongside the COMAVI outputs would and would not add: the two disagree in interpretable ways, so showing them together is useful provided they are not combined into a single score, which would reintroduce the conflation the separation is designed to avoid.</w:t>
      </w:r>
      <w:r w:rsidR="00003FD4">
        <w:rPr>
          <w:rFonts w:ascii="Arial" w:hAnsi="Arial" w:cs="Arial"/>
        </w:rPr>
      </w:r>
      <w:r w:rsidRPr="003759B8">
        <w:rPr>
          <w:rFonts w:ascii="Arial" w:hAnsi="Arial" w:cs="Arial"/>
        </w:rPr>
      </w:r>
    </w:p>
    <w:p ns2:paraId="6EB9BD61" ns2:textId="77777777" w:rsidR="005150BE" w:rsidRDefault="00000000">
      <w:pPr>
        <w:pStyle w:val="Heading2"/>
      </w:pPr>
      <w:r>
        <w:lastRenderedPageBreak/>
        <w:t>4.3 Limitations and validation priorities</w:t>
      </w:r>
    </w:p>
    <w:p ns2:paraId="66A315AB" ns2:textId="2331CA99" w:rsidR="005150BE" w:rsidRPr="003759B8" w:rsidRDefault="00000000">
      <w:pPr>
        <w:rPr>
          <w:rFonts w:ascii="Arial" w:hAnsi="Arial" w:cs="Arial"/>
        </w:rPr>
      </w:pPr>
      <w:r w:rsidRPr="003759B8">
        <w:rPr>
          <w:rFonts w:ascii="Arial" w:hAnsi="Arial" w:cs="Arial"/>
        </w:rPr>
        <w:t>FoldX predictions preserve direction and rank better than absolute magnitude</w:t>
      </w:r>
      <w:r w:rsidR="00003FD4">
        <w:rPr>
          <w:rFonts w:ascii="Arial" w:hAnsi="Arial" w:cs="Arial"/>
        </w:rPr>
        <w:t xml:space="preserve"> of structural disruption</w:t>
      </w:r>
      <w:r w:rsidRPr="003759B8">
        <w:rPr>
          <w:rFonts w:ascii="Arial" w:hAnsi="Arial" w:cs="Arial"/>
        </w:rPr>
        <w:t>. This is a documented property of the force field rather than a feature of this benchmark: systematic evaluations against measured stability and affinity data report the same compression of large effects [15,46,47], and Section 3.6 reproduces it here with a regression slope of 0.43 against measured energies. Large destabilizations are therefore understated, so stringent thresholds can miss real effects and the priority score cannot be interpreted in experimental energy units.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19831C76" ns2:textId="6B2EA4FA" w:rsidR="005150BE" w:rsidRDefault="00003FD4">
      <w:r>
        <w:rPr>
          <w:rFonts w:ascii="Arial" w:eastAsia="Arial" w:hAnsi="Arial"/>
        </w:rPr>
        <w:t>The size and composition of benchmark is another limitation. It contains</w:t>
      </w:r>
      <w:r w:rsidR="00000000">
        <w:rPr>
          <w:rFonts w:ascii="Arial" w:eastAsia="Arial" w:hAnsi="Arial"/>
        </w:rPr>
        <w:t xml:space="preserve"> 57 mechanism-evaluable variants spa</w:t>
      </w:r>
      <w:r>
        <w:rPr>
          <w:rFonts w:ascii="Arial" w:eastAsia="Arial" w:hAnsi="Arial"/>
        </w:rPr>
        <w:t>n</w:t>
      </w:r>
      <w:r w:rsidR="00000000">
        <w:rPr>
          <w:rFonts w:ascii="Arial" w:eastAsia="Arial" w:hAnsi="Arial"/>
        </w:rPr>
        <w:t>n</w:t>
      </w:r>
      <w:r>
        <w:rPr>
          <w:rFonts w:ascii="Arial" w:eastAsia="Arial" w:hAnsi="Arial"/>
        </w:rPr>
        <w:t>ing</w:t>
      </w:r>
      <w:r w:rsidR="00000000">
        <w:rPr>
          <w:rFonts w:ascii="Arial" w:eastAsia="Arial" w:hAnsi="Arial"/>
        </w:rPr>
        <w:t xml:space="preserve"> 14 systems, and variants within a system share structures and curation. Whole-system resampling addresses that dependence but cannot replace prospective validation. Evidence quality is also uneven: isolated-subunit stability and binding have direct energy anchors, whereas the present benchmark contains no direct measured energy comparator for stability calculated in the assembled complex.</w:t>
      </w:r>
    </w:p>
    <w:p ns2:paraId="55E79E74" ns2:textId="77777777" w:rsidR="005150BE" w:rsidRPr="003759B8" w:rsidRDefault="00000000">
      <w:pPr>
        <w:rPr>
          <w:rFonts w:ascii="Arial" w:hAnsi="Arial" w:cs="Arial"/>
        </w:rPr>
      </w:pPr>
      <w:r w:rsidRPr="003759B8">
        <w:rPr>
          <w:rFonts w:ascii="Arial" w:hAnsi="Arial" w:cs="Arial"/>
        </w:rP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rsidRPr="003759B8">
        <w:rPr>
          <w:rFonts w:ascii="Arial" w:hAnsi="Arial" w:cs="Arial"/>
        </w:rPr>
        <w:t>L</w:t>
      </w:r>
      <w:r w:rsidRPr="003759B8">
        <w:rPr>
          <w:rFonts w:ascii="Arial" w:hAnsi="Arial" w:cs="Arial"/>
        </w:rPr>
        <w:t xml:space="preserve">iterature curation remains important, and detailed evidence </w:t>
      </w:r>
      <w:r w:rsidR="00D4098B" w:rsidRPr="003759B8">
        <w:rPr>
          <w:rFonts w:ascii="Arial" w:hAnsi="Arial" w:cs="Arial"/>
        </w:rPr>
        <w:t>is</w:t>
      </w:r>
      <w:r w:rsidRPr="003759B8">
        <w:rPr>
          <w:rFonts w:ascii="Arial" w:hAnsi="Arial" w:cs="Arial"/>
        </w:rPr>
        <w:t xml:space="preserve"> documented in the supplement and repository.</w:t>
      </w:r>
    </w:p>
    <w:p ns2:paraId="31B69BD6" ns2:textId="77777777" w:rsidR="005150BE" w:rsidRDefault="00000000">
      <w:r>
        <w:rPr>
          <w:rFonts w:ascii="Arial" w:eastAsia="Arial" w:hAnsi="Arial"/>
        </w:rPr>
        <w:t xml:space="preserve">The highest-value next tests are external panels that separate folding from binding and include both disruptive and retained-function variants. Additional variants in the VWF A1-GPIb alpha and complement factor H-C3b systems can strengthen validation of fold-neutral binding lesions; SOD1, transthyretin, and </w:t>
      </w:r>
      <w:r>
        <w:rPr>
          <w:rFonts w:ascii="Arial" w:eastAsia="Arial" w:hAnsi="Arial"/>
        </w:rPr>
        <w:lastRenderedPageBreak/>
        <w:t>dense PDZ, SH3, and GB1 landscapes can test coupled tertiary, quaternary, interface, and allosteric effects [3,51,52].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45853676" ns2:textId="77777777" w:rsidR="005150BE" w:rsidRDefault="00000000">
      <w:pPr>
        <w:pStyle w:val="Heading2"/>
      </w:pPr>
      <w:r>
        <w:t>4.4 Conclusion</w:t>
      </w:r>
    </w:p>
    <w:p ns2:paraId="22871EEA"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34B9CCE0" ns2:textId="77777777" w:rsidR="005150BE" w:rsidRDefault="00000000">
      <w:pPr>
        <w:pStyle w:val="Heading1"/>
      </w:pPr>
      <w:r>
        <w:t>Author contributions</w:t>
      </w:r>
    </w:p>
    <w:p ns2:paraId="56F58D5B"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253CD00D" ns2:textId="77777777" w:rsidR="005150BE" w:rsidRDefault="00000000">
      <w:pPr>
        <w:pStyle w:val="Heading1"/>
      </w:pPr>
      <w:r>
        <w:t>Funding</w:t>
      </w:r>
    </w:p>
    <w:p ns2:paraId="29063D18" ns2:textId="77777777" w:rsidR="005150BE" w:rsidRDefault="00000000">
      <w:r>
        <w:t>[Funding sources and grant numbers to be supplied before submission.] The funders had no role in study design, data collection and analysis, decision to publish, or preparation of the manuscript.</w:t>
      </w:r>
    </w:p>
    <w:p ns2:paraId="6F62884C" ns2:textId="77777777" w:rsidR="005150BE" w:rsidRDefault="00000000">
      <w:pPr>
        <w:pStyle w:val="Heading1"/>
      </w:pPr>
      <w:r>
        <w:t>Competing interests</w:t>
      </w:r>
    </w:p>
    <w:p ns2:paraId="3213CFDC" ns2:textId="77777777" w:rsidR="005150BE" w:rsidRDefault="00000000">
      <w:r>
        <w:t>The authors declare no competing interests.</w:t>
      </w:r>
    </w:p>
    <w:p ns2:paraId="3D19F554" ns2:textId="77777777" w:rsidR="005150BE" w:rsidRDefault="00000000">
      <w:pPr>
        <w:pStyle w:val="Heading1"/>
      </w:pPr>
      <w:r>
        <w:lastRenderedPageBreak/>
        <w:t>Ethics statement</w:t>
      </w:r>
    </w:p>
    <w:p ns2:paraId="27E55928"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249A0B81" ns2:textId="77777777" w:rsidR="005150BE" w:rsidRDefault="00000000">
      <w:pPr>
        <w:pStyle w:val="Heading1"/>
      </w:pPr>
      <w:r>
        <w:t>Code availability</w:t>
      </w:r>
    </w:p>
    <w:p ns2:paraId="44B821A4"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congenital heart disease,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66EF58E2" ns2:textId="77777777" w:rsidR="005150BE" w:rsidRDefault="00000000">
      <w:pPr>
        <w:pStyle w:val="Heading1"/>
      </w:pPr>
      <w:r>
        <w:t>Data availability</w:t>
      </w:r>
    </w:p>
    <w:p ns2:paraId="0731BACF" ns2:textId="77777777" w:rsidR="005150BE" w:rsidRDefault="00000000">
      <w:r>
        <w:t>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executable are not redistributed. Any subsequently minted archive DOI should be added here before submission.</w:t>
      </w:r>
    </w:p>
    <w:p ns2:paraId="19D84F79" ns2:textId="77777777" w:rsidR="005150BE" w:rsidRDefault="00000000">
      <w:pPr>
        <w:pStyle w:val="Heading1"/>
      </w:pPr>
      <w:r>
        <w:t>Acknowledgements</w:t>
      </w:r>
    </w:p>
    <w:p ns2:paraId="1A6D983F" ns2:textId="77777777" w:rsidR="005150BE" w:rsidRDefault="00000000">
      <w:r>
        <w:t>[Acknowledgements to be supplied before submission.]</w:t>
      </w:r>
    </w:p>
    <w:p ns2:paraId="797660B5" ns2:textId="77777777" w:rsidR="005150BE" w:rsidRDefault="00000000">
      <w:pPr>
        <w:pStyle w:val="Heading1"/>
      </w:pPr>
      <w:r>
        <w:lastRenderedPageBreak/>
        <w:t>References</w:t>
      </w:r>
    </w:p>
    <w:p ns2:paraId="39EDB1A8" ns2:textId="77777777" w:rsidR="00423ADE" w:rsidRDefault="00000000">
      <w:r>
        <w:t>1. Cheng J, Novati G, Pan J, et al. Accurate proteome-wide missense variant effect prediction with AlphaMissense. Science. 2023;381(6664):eadg7492. doi:10.1126/science.adg7492</w:t>
      </w:r>
    </w:p>
    <w:p ns2:paraId="6EC549C1" ns2:textId="77777777" w:rsidR="00423ADE" w:rsidRDefault="00000000">
      <w:r>
        <w:t>2. Ye C, Benegas G, Albors C, et al. Predicting genome-wide functional constraints with GPN-Star. Nature. 2026. doi:10.1038/s41586-026-11005-5</w:t>
      </w:r>
    </w:p>
    <w:p ns2:paraId="21AB5525" ns2:textId="77777777" w:rsidR="00423ADE" w:rsidRDefault="00000000">
      <w:r>
        <w:t>3. Faure AJ, Domingo J, Schmiedel JM, Hidalgo-Carcedo C, Diss G, Lehner B. Mapping the energetic and allosteric landscapes of protein binding domains. Nature. 2022;604:175-183. doi:10.1038/s41586-022-04586-4</w:t>
      </w:r>
    </w:p>
    <w:p ns2:paraId="44EE32CD" ns2:textId="77777777" w:rsidR="00423ADE" w:rsidRDefault="00000000">
      <w:r>
        <w:t>4. Abramson J, Adler J, Dunger J, et al. Accurate structure prediction of biomolecular interactions with AlphaFold 3. Nature. 2024;630(8016):493–500. doi:10.1038/s41586-024-07487-w</w:t>
      </w:r>
    </w:p>
    <w:p ns2:paraId="011FAB75" ns2:textId="77777777" w:rsidR="00423ADE" w:rsidRDefault="00000000">
      <w:r>
        <w:t>5. Wohlwend J, Corso G, Passaro S, et al. Boltz-1: democratizing biomolecular interaction modeling. bioRxiv. 2024. doi:10.1101/2024.11.19.624167</w:t>
      </w:r>
    </w:p>
    <w:p ns2:paraId="370157D5" ns2:textId="77777777" w:rsidR="00423ADE" w:rsidRDefault="00000000">
      <w:r>
        <w:t>6. Passaro S, Corso G, Wohlwend J, et al. Boltz-2: towards accurate and efficient binding affinity prediction. bioRxiv. 2025. doi:10.1101/2025.06.14.659707</w:t>
      </w:r>
    </w:p>
    <w:p ns2:paraId="4993664A" ns2:textId="77777777" w:rsidR="00423ADE" w:rsidRDefault="00000000">
      <w:r>
        <w:t>7. Arnaudi M, Utichi M, Tiberti M, Papaleo E. Predicting the structure-altering mechanisms of disease variants. Curr Opin Struct Biol. 2025;91:102994. doi:10.1016/j.sbi.2025.102994</w:t>
      </w:r>
    </w:p>
    <w:p ns2:paraId="36C7F701" ns2:textId="77777777" w:rsidR="00423ADE" w:rsidRDefault="00000000">
      <w:r>
        <w:t>8. Khanna T, Hanna G, Sternberg MJE, David A. Missense3D-DB web catalogue: an atom-based analysis and repository of 4M human protein-coding genetic variants. Hum Genet. 2021;140(5):805–812. doi:10.1007/s00439-020-02246-z</w:t>
      </w:r>
    </w:p>
    <w:p ns2:paraId="305BBE33" ns2:textId="77777777" w:rsidR="00423ADE" w:rsidRDefault="00000000">
      <w:r>
        <w:t>9. Woodard J, Zhang C, Zhang Y. ADDRESS: a database of disease-associated human variants incorporating protein structure and folding stabilities. J Mol Biol. 2021;433(11):166840. doi:10.1016/j.jmb.2021.166840</w:t>
      </w:r>
    </w:p>
    <w:p ns2:paraId="4A9C8664" ns2:textId="77777777" w:rsidR="00423ADE" w:rsidRDefault="00000000">
      <w:r>
        <w:t>10. Philipp M, Moth CW, Ristic N, Tiemann JKS, Seufert F, Panfilova A, et al. MutationExplorer: a webserver for mutation of proteins and 3D visualization of energetic impacts. Nucleic Acids Res. 2024;52(W1):W132–W139. doi:10.1093/nar/gkae301</w:t>
      </w:r>
    </w:p>
    <w:p ns2:paraId="71DC7853" ns2:textId="77777777" w:rsidR="00423ADE" w:rsidRDefault="00000000">
      <w:r>
        <w:lastRenderedPageBreak/>
        <w:t>11. Moth CW, Sheehan JH, Al Mamun A, Sivley RM, Gulsevin A, Rinker DC, et al. VUStruct: a compute pipeline for high throughput and personalized structural biology. PLoS Comput Biol. 2026;22(5):e1014183. doi:10.1371/journal.pcbi.1014183</w:t>
      </w:r>
    </w:p>
    <w:p ns2:paraId="32010BBA" ns2:textId="77777777" w:rsidR="00423ADE" w:rsidRDefault="00000000">
      <w:r>
        <w:t>12. Kwon S, Safer J, Nguyen DT, Hoksza D, May P, Arbesfeld JA, et al. Genomics 2 Proteins portal: a resource and discovery tool for linking genetic screening outputs to protein sequences and structures. Nat Methods. 2024;21(10):1947–1957. doi:10.1038/s41592-024-02409-0</w:t>
      </w:r>
    </w:p>
    <w:p ns2:paraId="6D2BB6E9" ns2:textId="77777777" w:rsidR="00423ADE" w:rsidRDefault="00000000">
      <w:r>
        <w:t>13. Stephenson JD, Totoo P, Burke DF, Jänes J, Beltrao P, Martin MJ. ProtVar: mapping and contextualizing human missense variation. Nucleic Acids Res. 2024;52(W1):W140–W147. doi:10.1093/nar/gkae413</w:t>
      </w:r>
    </w:p>
    <w:p ns2:paraId="4114E867" ns2:textId="77777777" w:rsidR="00423ADE" w:rsidRDefault="00000000">
      <w:r>
        <w:t>14. Witvliet DK, Strokach A, Giraldo-Forero AF, Teyra J, Colak R, Kim PM. ELASPIC web-server: proteome-wide structure-based prediction of mutation effects on protein stability and binding affinity. Bioinformatics. 2016;32(10):1589-1591. doi:10.1093/bioinformatics/btw031</w:t>
      </w:r>
    </w:p>
    <w:p ns2:paraId="5A2496A7" ns2:textId="77777777" w:rsidR="00423ADE" w:rsidRDefault="00000000">
      <w:r>
        <w:t>15. Arnaudi M, Utichi M, Degn K, Tiberti M, Beltrame L, Krzesińska K, et al. MAVISp: a modular structure-based framework for protein variant effects. Protein Sci. 2026;35(5):e70548. doi:10.1002/pro.70548</w:t>
      </w:r>
    </w:p>
    <w:p ns2:paraId="48B45956" ns2:textId="77777777" w:rsidR="00423ADE" w:rsidRDefault="00000000">
      <w:r>
        <w:t>16. Buß O, Rudat J, Ochsenreither K. FoldX as protein engineering tool: better than random based approaches? Comput Struct Biotechnol J. 2018;16:25–33. doi:10.1016/j.csbj.2018.01.002</w:t>
      </w:r>
    </w:p>
    <w:p ns2:paraId="49D41BD2" ns2:textId="77777777" w:rsidR="00423ADE" w:rsidRDefault="00000000">
      <w:r>
        <w:t>17. Rodrigues CHM, Myung Y, Pires DEV, Ascher DB. mCSM-PPI2: predicting the effects of mutations on protein–protein interactions. Nucleic Acids Res. 2019;47(W1):W338–W344. doi:10.1093/nar/gkz383</w:t>
      </w:r>
    </w:p>
    <w:p ns2:paraId="693C307C" ns2:textId="77777777" w:rsidR="00423ADE" w:rsidRDefault="00000000">
      <w:r>
        <w:t>18. Montanucci L, Capriotti E, Frank Y, Ben-Tal N, Fariselli P. DDGun: an untrained method for the prediction of protein stability changes upon single and multiple point variations. BMC Bioinformatics. 2019;20(Suppl 14):335. doi:10.1186/s12859-019-2923-1</w:t>
      </w:r>
    </w:p>
    <w:p ns2:paraId="451D0626" ns2:textId="77777777" w:rsidR="00423ADE" w:rsidRDefault="00000000">
      <w:r>
        <w:t>19. Livesey BJ, Marsh JA. Using deep mutational scanning to benchmark variant effect predictors and identify disease mutations. Mol Syst Biol. 2020;16(7):e9380. doi:10.15252/msb.20199380</w:t>
      </w:r>
    </w:p>
    <w:p ns2:paraId="0581B860" ns2:textId="77777777" w:rsidR="00423ADE" w:rsidRDefault="00000000">
      <w:r>
        <w:t>20. Blaabjerg LM, Kassem MM, Good LL, Jonsson N, Cagiada M, Johansson KE, et al. Rapid protein stability prediction using deep learning representations. eLife. 2023;12:e82593. doi:10.7554/eLife.82593</w:t>
      </w:r>
    </w:p>
    <w:p ns2:paraId="5C8AE2CF" ns2:textId="77777777" w:rsidR="00423ADE" w:rsidRDefault="00000000">
      <w:r>
        <w:lastRenderedPageBreak/>
        <w:t>21. Arnaudi M, Utichi M, Beltrame L, et al. RosettaDDGPrediction for high-throughput mutational scans: from stability to binding. Protein Sci. 2023;32(1):e4527. doi:10.1002/pro.4527</w:t>
      </w:r>
    </w:p>
    <w:p ns2:paraId="572C1848" ns2:textId="77777777" w:rsidR="00423ADE" w:rsidRDefault="00000000">
      <w:r>
        <w:t>22. Degn K, Utichi M, Besora Sánchez-Izquierdo P, Tiberti M, Papaleo E. In-silico stability predictors: investigation of performance towards balanced experimental data. bioRxiv. 2025. doi:10.1101/2025.03.28.645695</w:t>
      </w:r>
    </w:p>
    <w:p ns2:paraId="51AC7060" ns2:textId="77777777" w:rsidR="00423ADE" w:rsidRDefault="00000000">
      <w:r>
        <w:t>23. Vliora A, Tiberti M, Papaleo E. Evaluating FoldX 5.1 for MAVISp stability data collection. bioRxiv. 2026. doi:10.64898/2026.03.31.715598</w:t>
      </w:r>
    </w:p>
    <w:p ns2:paraId="5F5FF421" ns2:textId="77777777" w:rsidR="00423ADE" w:rsidRDefault="00000000">
      <w:r>
        <w:t>24. Rowling PJE, Cook R, Itzhaki LS. Toward classification of BRCA1 missense variants using a biophysical approach. J Biol Chem. 2010;285(26):20080–20087. doi:10.1074/jbc.M109.088922</w:t>
      </w:r>
    </w:p>
    <w:p ns2:paraId="7F258D58" ns2:textId="77777777" w:rsidR="00423ADE" w:rsidRDefault="00000000">
      <w:r>
        <w:t>25. Clark KA, Yang QP, Weeks AM, et al. Comprehensive evaluation and efficient classification of BRCA1 RING domain missense substitutions. Am J Hum Genet. 2022;109(6):1153–1174. doi:10.1016/j.ajhg.2022.05.004</w:t>
      </w:r>
    </w:p>
    <w:p ns2:paraId="5EAC76BB" ns2:textId="77777777" w:rsidR="00423ADE" w:rsidRDefault="00000000">
      <w:r>
        <w:t>26. Starita LM, Young DL, Islam M, et al. Massively parallel functional analysis of BRCA1 RING domain variants. Genetics. 2015;200(2):413–422. doi:10.1534/genetics.115.175802</w:t>
      </w:r>
    </w:p>
    <w:p ns2:paraId="1953D740" ns2:textId="77777777" w:rsidR="00423ADE" w:rsidRDefault="00000000">
      <w:r>
        <w:t>27. Crotti L, Johnson CN, Graf E, et al. Calmodulin mutations associated with recurrent cardiac arrest in infants. Circulation. 2013;127(9):1009–1017. doi:10.1161/CIRCULATIONAHA.112.001216</w:t>
      </w:r>
    </w:p>
    <w:p ns2:paraId="40757AA2" ns2:textId="77777777" w:rsidR="00423ADE" w:rsidRDefault="00000000">
      <w:r>
        <w:t>28. Hunter JC, Manandhar A, Carrasco MA, Gurbani D, Gondi S, Westover KD. Biochemical and structural analysis of common cancer-associated KRAS mutations. Mol Cancer Res. 2015;13(9):1325–1335. doi:10.1158/1541-7786.MCR-15-0203</w:t>
      </w:r>
    </w:p>
    <w:p ns2:paraId="75EE5E28" ns2:textId="77777777" w:rsidR="00423ADE" w:rsidRDefault="00000000">
      <w:r>
        <w:t>29. Kosinski J, Hinrichsen I, Bujnicki JM, Friedhoff P, Plotz G. Identification of Lynch syndrome mutations in the MLH1-PMS2 interface that disturb dimerization and mismatch repair. Hum Mutat. 2010;31(8):975–982. doi:10.1002/humu.21301</w:t>
      </w:r>
    </w:p>
    <w:p ns2:paraId="549F2568" ns2:textId="77777777" w:rsidR="00423ADE" w:rsidRDefault="00000000">
      <w:r>
        <w:t>30. Raevaara TE, Korhonen MK, Lohi H, et al. Functional significance and clinical phenotype of nontruncating mismatch repair variants of MLH1. Gastroenterology. 2005;129(2):537–549. doi:10.1053/j.gastro.2005.06.005</w:t>
      </w:r>
    </w:p>
    <w:p ns2:paraId="786AF0CD" ns2:textId="77777777" w:rsidR="00423ADE" w:rsidRDefault="00000000">
      <w:r>
        <w:t>31. Drost M, Tiersma Y, Glubb D, et al. A functional assay-based procedure to classify mismatch repair gene variants in Lynch syndrome. Genet Med. 2019;21(7):1486–1496. doi:10.1038/s41436-018-0372-2</w:t>
      </w:r>
    </w:p>
    <w:p ns2:paraId="39A4E980" ns2:textId="77777777" w:rsidR="00423ADE" w:rsidRDefault="00000000">
      <w:r>
        <w:lastRenderedPageBreak/>
        <w:t>32. Ollila S, Sarantaus L, Kariola R, et al. Pathogenicity of MSH2 missense mutations is typically associated with impaired repair capability of the mutated protein. Gastroenterology. 2006;131(5):1408–1417. doi:10.1053/j.gastro.2006.08.044</w:t>
      </w:r>
    </w:p>
    <w:p ns2:paraId="069EA540" ns2:textId="77777777" w:rsidR="00423ADE" w:rsidRDefault="00000000">
      <w:r>
        <w:t>33. Ollila S, Dermadi Bebek D, Jiricny J, Nyström M. Mechanisms of pathogenicity in human MSH2 missense mutants. Hum Mutat. 2008;29(11):1355–1363. doi:10.1002/humu.20893</w:t>
      </w:r>
    </w:p>
    <w:p ns2:paraId="0F36423F" ns2:textId="77777777" w:rsidR="00423ADE" w:rsidRDefault="00000000">
      <w:r>
        <w:t>34. Jia X, Burugula BB, Chen V, et al. Massively parallel functional testing of MSH2 missense variants conferring Lynch syndrome risk. Am J Hum Genet. 2021;108(1):163–175. doi:10.1016/j.ajhg.2020.12.003</w:t>
      </w:r>
    </w:p>
    <w:p ns2:paraId="2F9834FE" ns2:textId="77777777" w:rsidR="00423ADE" w:rsidRDefault="00000000">
      <w:r>
        <w:t>35. Zhao L, Vogt PK. Helical domain and kinase domain mutations in p110α of phosphatidylinositol 3-kinase induce gain of function by different mechanisms. Proc Natl Acad Sci USA. 2008;105(7):2652–2657. doi:10.1073/pnas.0712169105</w:t>
      </w:r>
    </w:p>
    <w:p ns2:paraId="7D35C066" ns2:textId="77777777" w:rsidR="00423ADE" w:rsidRDefault="00000000">
      <w:r>
        <w:t>36. Mandelker D, Gabelli SB, Schmidt-Kittler O, et al. A frequent kinase domain mutation that changes the interaction between PI3Kα and the membrane. Proc Natl Acad Sci USA. 2009;106(40):16996–17001. doi:10.1073/pnas.0908444106</w:t>
      </w:r>
    </w:p>
    <w:p ns2:paraId="1222F7E0" ns2:textId="77777777" w:rsidR="00423ADE" w:rsidRDefault="00000000">
      <w:r>
        <w:t>37. Jaiswal BS, Janakiraman V, Kljavin NM, et al. Somatic mutations in p85α promote tumorigenesis through class IA PI3K activation. Cancer Cell. 2009;16(6):463–474. doi:10.1016/j.ccr.2009.10.016</w:t>
      </w:r>
    </w:p>
    <w:p ns2:paraId="628C18BA" ns2:textId="77777777" w:rsidR="00423ADE" w:rsidRDefault="00000000">
      <w:r>
        <w:t>38. De Bosscher K, Hill CS, Nicolás FJ. Molecular and functional consequences of Smad4 C-terminal missense mutations in colorectal tumour cells. Biochem J. 2004;379(Pt 1):209–216. doi:10.1042/bj20031886</w:t>
      </w:r>
    </w:p>
    <w:p ns2:paraId="339D74EF" ns2:textId="77777777" w:rsidR="00423ADE" w:rsidRDefault="00000000">
      <w:r>
        <w:t>39. Le Goff C, Mahaut C, Abhyankar A, et al. Mutations at a single codon in Mad homology 2 domain of SMAD4 cause Myhre syndrome. Nat Genet. 2011;44(1):85–88. doi:10.1038/ng.1016</w:t>
      </w:r>
    </w:p>
    <w:p ns2:paraId="3A9BB4BD" ns2:textId="77777777" w:rsidR="00423ADE" w:rsidRDefault="00000000">
      <w:r>
        <w:t>40. Lanauze CB, Sehgal P, Hayer K, et al. Colorectal cancer-associated Smad4 R361 hotspot mutations boost Wnt/β-catenin signaling through enhanced Smad4-LEF1 binding. Mol Cancer Res. 2021;19(5):823–833. doi:10.1158/1541-7786.MCR-20-0721</w:t>
      </w:r>
    </w:p>
    <w:p ns2:paraId="02718E2E" ns2:textId="77777777" w:rsidR="00423ADE" w:rsidRDefault="00000000">
      <w:r>
        <w:t>41. Elliott K, Watkins H, Redwood CS. Altered regulatory properties of human cardiac troponin I mutants that cause hypertrophic cardiomyopathy. J Biol Chem. 2000;275(29):22069–22074. doi:10.1074/jbc.M002502200</w:t>
      </w:r>
    </w:p>
    <w:p ns2:paraId="5968342E" ns2:textId="77777777" w:rsidR="00423ADE" w:rsidRDefault="00000000">
      <w:r>
        <w:lastRenderedPageBreak/>
        <w:t>42. Stebbins CE, Kaelin WG Jr, Pavletich NP. Structure of the VHL-ElonginC-ElonginB complex: implications for VHL tumor suppressor function. Science. 1999;284(5413):455–461. doi:10.1126/science.284.5413.455</w:t>
      </w:r>
    </w:p>
    <w:p ns2:paraId="0DA6AEC5" ns2:textId="77777777" w:rsidR="00423ADE" w:rsidRDefault="00000000">
      <w:r>
        <w:t>43. Ohh M, Park CW, Ivan M, et al. Ubiquitination of hypoxia-inducible factor requires direct binding to the β-domain of the von Hippel-Lindau protein. Nat Cell Biol. 2000;2(7):423–427. doi:10.1038/35017054</w:t>
      </w:r>
    </w:p>
    <w:p ns2:paraId="4E8B6ED1" ns2:textId="77777777" w:rsidR="00423ADE" w:rsidRDefault="00000000">
      <w:r>
        <w:t>44. Schymkowitz J, Borg J, Stricher F, Nys R, Rousseau F, Serrano L. The FoldX web server: an online force field. Nucleic Acids Res. 2005;33(Web Server issue):W382–W388. doi:10.1093/nar/gki387</w:t>
      </w:r>
    </w:p>
    <w:p ns2:paraId="56272B0E" ns2:textId="77777777" w:rsidR="00423ADE" w:rsidRDefault="00000000">
      <w:r>
        <w:t>45. Sapozhnikov Y, Patel JS, Ytreberg FM, Miller CR. Statistical modeling to quantify the uncertainty of FoldX-predicted protein folding and binding stability. BMC Bioinformatics. 2023;24:426. doi:10.1186/s12859-023-05537-0</w:t>
      </w:r>
    </w:p>
    <w:p ns2:paraId="37AB9DD7" ns2:textId="77777777" w:rsidR="00423ADE" w:rsidRDefault="00000000">
      <w:r>
        <w:t>46. Pechtl IC, Kavanagh D, McIntosh N, Harris CL, Barlow PN. Disease-associated N-terminal complement factor H mutations perturb cofactor and decay-accelerating activities. J Biol Chem. 2011;286(13):11082–11090. doi:10.1074/jbc.M110.211839</w:t>
      </w:r>
    </w:p>
    <w:p ns2:paraId="4DD30E35" ns2:textId="77777777" w:rsidR="00423ADE" w:rsidRDefault="00000000">
      <w:r>
        <w:t>47. Tischer A, Machha VR, Rösner V, et al. Structure-resolved dynamics of type 2M von Willebrand disease. J Thromb Haemost. 2025;23(4):1215–1228. doi:10.1016/j.jtha.2024.12.026</w:t>
      </w:r>
    </w:p>
    <w:p ns2:paraId="34D4DD93" ns2:textId="77777777" w:rsidR="00423ADE" w:rsidRDefault="00000000">
      <w:r>
        <w:t>48. Kwiatkowski LD, Hui HL, Wierzba A, et al. Preparation and kinetic characterization of a series of βW37 variants of human hemoglobin A: evidence for high-affinity T quaternary structures. Biochemistry. 1998;37(13):4325–4335. doi:10.1021/bi970866q</w:t>
      </w:r>
    </w:p>
    <w:p ns2:paraId="65450D78" ns2:textId="77777777" w:rsidR="00423ADE" w:rsidRDefault="00000000">
      <w:r>
        <w:t>49. Bonaventura J, Riggs A. Hemoglobin Kansas, a human hemoglobin with a neutral amino acid substitution and an abnormal oxygen equilibrium. J Biol Chem. 1968;243(5):980–991. doi:10.1016/S0021-9258(18)93612-4</w:t>
      </w:r>
    </w:p>
    <w:p ns2:paraId="25228FDC" ns2:textId="77777777" w:rsidR="00423ADE" w:rsidRDefault="00000000">
      <w:r>
        <w:t>50. Franklin by Genoox. Genomic variant interpretation platform. Genoox Ltd. https://franklin.genoox.com (accessed 2026).</w:t>
      </w:r>
    </w:p>
    <w:p ns2:paraId="39F5A78A" ns2:textId="77777777" w:rsidR="00423ADE" w:rsidRDefault="00000000">
      <w:r>
        <w:t>51. Vassall KA, Stathopulos PB, Rumfeldt JAO, Lepock JR, Meiering EM. Equilibrium thermodynamic analysis of amyotrophic lateral sclerosis-associated mutant apo Cu,Zn superoxide dismutases. Biochemistry. 2006;45(23):7366-7379. doi:10.1021/bi0600953</w:t>
      </w:r>
    </w:p>
    <w:p ns2:paraId="202930F3" ns2:textId="77777777" w:rsidR="00423ADE" w:rsidRDefault="00000000">
      <w:r>
        <w:lastRenderedPageBreak/>
        <w:t>52.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ns2:paraId="6747AF9E" ns2:textId="77777777" w:rsidR="00423ADE" w:rsidRDefault="00000000">
      <w:r>
        <w:t>53. Grantham R. Amino acid difference formula to help explain protein evolution. Science. 1974;185(4154):862–864. doi:10.1126/science.185.4154.862</w:t>
      </w:r>
    </w:p>
    <w:p ns2:paraId="44293C54" ns2:textId="77777777" w:rsidR="00423ADE" w:rsidRDefault="00000000">
      <w:r>
        <w:t>54. Abildgaard AB, Stein A, Nielsen SV, Schultz-Knudsen K, Papaleo E, Shrikhande A, et al. Computational and cellular studies reveal structural destabilization and degradation of MLH1 variants in Lynch syndrome. eLife. 2019;8:e49138. doi:10.7554/eLife.49138</w:t>
      </w:r>
    </w:p>
    <w:p ns2:paraId="7CFC4CFC" ns2:textId="77777777" w:rsidR="00423ADE" w:rsidRDefault="00000000">
      <w:r>
        <w:t>55. Nielsen SV, Stein A, Dinitzen AB, Papaleo E, Tatham MH, Poulsen EG, et al. Predicting the impact of Lynch syndrome-causing missense mutations from structural calculations. PLoS Genet. 2017;13(4):e1006739. doi:10.1371/journal.pgen.1006739</w:t>
      </w:r>
    </w:p>
    <w:p ns2:paraId="76226404" ns2:textId="77777777" w:rsidR="00423ADE" w:rsidRDefault="00000000">
      <w:r>
        <w:t>56. Jankauskaitė J, Jiménez-García B, Dapkūnas J, Fernández-Recio J, Moal IH. SKEMPI 2.0: an updated benchmark of changes in protein–protein binding energy, kinetics and thermodynamics upon mutation. Bioinformatics. 2019;35(3):462–469. doi:10.1093/bioinformatics/bty635</w:t>
      </w:r>
    </w:p>
    <w:p ns2:paraId="1A00EA2E" ns2:textId="77777777" w:rsidR="008B49EB" w:rsidRDefault="008B49EB">
      <w:pPr>
        <w:spacing w:after="50"/>
        <w:ind w:left="360" w:hanging="360"/>
        <w:rPr>
          <w:rFonts w:eastAsia="Aptos"/>
          <w:sz w:val="17"/>
        </w:rPr>
      </w:pPr>
    </w:p>
    <w:p ns2:paraId="3024A760" ns2:textId="77777777" w:rsidR="008B49EB" w:rsidRDefault="008B49EB">
      <w:pPr>
        <w:spacing w:after="50"/>
        <w:ind w:left="360" w:hanging="360"/>
        <w:rPr>
          <w:rFonts w:eastAsia="Aptos"/>
          <w:sz w:val="17"/>
        </w:rPr>
      </w:pPr>
    </w:p>
    <w:p ns2:paraId="0935DE5A" ns2:textId="77777777" w:rsidR="008B49EB" w:rsidRDefault="008B49EB">
      <w:pPr>
        <w:spacing w:after="50"/>
        <w:ind w:left="360" w:hanging="360"/>
        <w:rPr>
          <w:rFonts w:eastAsia="Aptos"/>
          <w:sz w:val="17"/>
        </w:rPr>
      </w:pPr>
    </w:p>
    <w:p ns2:paraId="729FD951" ns2:textId="77777777" w:rsidR="008B49EB" w:rsidRDefault="008B49EB">
      <w:pPr>
        <w:spacing w:after="50"/>
        <w:ind w:left="360" w:hanging="360"/>
        <w:rPr>
          <w:rFonts w:eastAsia="Aptos"/>
          <w:sz w:val="17"/>
        </w:rPr>
      </w:pPr>
    </w:p>
    <w:p ns2:paraId="7960E239" ns2:textId="77777777" w:rsidR="008B49EB" w:rsidRDefault="008B49EB">
      <w:pPr>
        <w:spacing w:after="50"/>
        <w:ind w:left="360" w:hanging="360"/>
        <w:rPr>
          <w:rFonts w:eastAsia="Aptos"/>
          <w:sz w:val="17"/>
        </w:rPr>
      </w:pPr>
    </w:p>
    <w:p ns2:paraId="14D390D5" ns2:textId="77777777" w:rsidR="008B49EB" w:rsidRDefault="008B49EB">
      <w:pPr>
        <w:spacing w:after="50"/>
        <w:ind w:left="360" w:hanging="360"/>
        <w:rPr>
          <w:rFonts w:eastAsia="Aptos"/>
          <w:sz w:val="17"/>
        </w:rPr>
      </w:pPr>
    </w:p>
    <w:p ns2:paraId="1367F30E" ns2:textId="77777777" w:rsidR="008B49EB" w:rsidRDefault="008B49EB">
      <w:pPr>
        <w:spacing w:after="50"/>
        <w:ind w:left="360" w:hanging="360"/>
        <w:rPr>
          <w:rFonts w:eastAsia="Aptos"/>
          <w:sz w:val="17"/>
        </w:rPr>
      </w:pPr>
    </w:p>
    <w:p ns2:paraId="15E411FE" ns2:textId="77777777" w:rsidR="008B49EB" w:rsidRDefault="008B49EB">
      <w:pPr>
        <w:spacing w:after="50"/>
        <w:ind w:left="360" w:hanging="360"/>
        <w:rPr>
          <w:rFonts w:eastAsia="Aptos"/>
          <w:sz w:val="17"/>
        </w:rPr>
      </w:pPr>
    </w:p>
    <w:p ns2:paraId="6992EFB3" ns2:textId="77777777" w:rsidR="008B49EB" w:rsidRDefault="008B49EB">
      <w:pPr>
        <w:spacing w:after="50"/>
        <w:ind w:left="360" w:hanging="360"/>
        <w:rPr>
          <w:rFonts w:eastAsia="Aptos"/>
          <w:sz w:val="17"/>
        </w:rPr>
      </w:pPr>
    </w:p>
    <w:p ns2:paraId="4502893B" ns2:textId="77777777" w:rsidR="008B49EB" w:rsidRDefault="008B49EB">
      <w:pPr>
        <w:spacing w:after="50"/>
        <w:ind w:left="360" w:hanging="360"/>
        <w:rPr>
          <w:rFonts w:eastAsia="Aptos"/>
          <w:sz w:val="17"/>
        </w:rPr>
      </w:pPr>
    </w:p>
    <w:p ns2:paraId="0D578928" ns2:textId="77777777" w:rsidR="008B49EB" w:rsidRDefault="008B49EB">
      <w:pPr>
        <w:spacing w:after="50"/>
        <w:ind w:left="360" w:hanging="360"/>
        <w:rPr>
          <w:rFonts w:eastAsia="Aptos"/>
          <w:sz w:val="17"/>
        </w:rPr>
      </w:pPr>
    </w:p>
    <w:p ns2:paraId="72358C82" ns2:textId="77777777" w:rsidR="008B49EB" w:rsidRDefault="008B49EB">
      <w:pPr>
        <w:spacing w:after="50"/>
        <w:ind w:left="360" w:hanging="360"/>
        <w:rPr>
          <w:rFonts w:eastAsia="Aptos"/>
          <w:sz w:val="17"/>
        </w:rPr>
      </w:pPr>
    </w:p>
    <w:p ns2:paraId="0B5C5449" ns2:textId="77777777" w:rsidR="008B49EB" w:rsidRDefault="008B49EB">
      <w:pPr>
        <w:spacing w:after="50"/>
        <w:ind w:left="360" w:hanging="360"/>
        <w:rPr>
          <w:rFonts w:eastAsia="Aptos"/>
          <w:sz w:val="17"/>
        </w:rPr>
      </w:pPr>
    </w:p>
    <w:p ns2:paraId="701A2E23" ns2:textId="77777777" w:rsidR="008B49EB" w:rsidRDefault="008B49EB">
      <w:pPr>
        <w:spacing w:after="50"/>
        <w:ind w:left="360" w:hanging="360"/>
        <w:rPr>
          <w:rFonts w:eastAsia="Aptos"/>
          <w:sz w:val="17"/>
        </w:rPr>
      </w:pPr>
    </w:p>
    <w:p ns2:paraId="3768E8B4" ns2:textId="77777777" w:rsidR="008B49EB" w:rsidRDefault="008B49EB">
      <w:pPr>
        <w:spacing w:after="50"/>
        <w:ind w:left="360" w:hanging="360"/>
        <w:rPr>
          <w:rFonts w:eastAsia="Aptos"/>
          <w:sz w:val="17"/>
        </w:rPr>
      </w:pPr>
    </w:p>
    <w:p ns2:paraId="4EB4221F" ns2:textId="77777777" w:rsidR="008B49EB" w:rsidRDefault="008B49EB">
      <w:pPr>
        <w:spacing w:after="50"/>
        <w:ind w:left="360" w:hanging="360"/>
        <w:rPr>
          <w:rFonts w:eastAsia="Aptos"/>
          <w:sz w:val="17"/>
        </w:rPr>
      </w:pPr>
    </w:p>
    <w:p ns2:paraId="6F8DEC34" ns2:textId="77777777" w:rsidR="008B49EB" w:rsidRDefault="008B49EB">
      <w:pPr>
        <w:spacing w:after="50"/>
        <w:ind w:left="360" w:hanging="360"/>
        <w:rPr>
          <w:rFonts w:eastAsia="Aptos"/>
          <w:sz w:val="17"/>
        </w:rPr>
      </w:pPr>
    </w:p>
    <w:p ns2:paraId="32AB8B24" ns2:textId="77777777" w:rsidR="008B49EB" w:rsidRDefault="008B49EB">
      <w:pPr>
        <w:spacing w:after="50"/>
        <w:ind w:left="360" w:hanging="360"/>
        <w:rPr>
          <w:rFonts w:eastAsia="Aptos"/>
          <w:sz w:val="17"/>
        </w:rPr>
      </w:pPr>
    </w:p>
    <w:p ns2:paraId="7A05AE7B" ns2:textId="77777777" w:rsidR="008B49EB" w:rsidRDefault="008B49EB">
      <w:pPr>
        <w:spacing w:after="50"/>
        <w:ind w:left="360" w:hanging="360"/>
        <w:rPr>
          <w:rFonts w:eastAsia="Aptos"/>
          <w:sz w:val="17"/>
        </w:rPr>
      </w:pPr>
    </w:p>
    <w:p ns2:paraId="47038CAF" ns2:textId="77777777" w:rsidR="008B49EB" w:rsidRDefault="008B49EB">
      <w:pPr>
        <w:spacing w:after="50"/>
        <w:ind w:left="360" w:hanging="360"/>
        <w:rPr>
          <w:rFonts w:eastAsia="Aptos"/>
          <w:sz w:val="17"/>
        </w:rPr>
      </w:pPr>
    </w:p>
    <w:p ns2:paraId="6E38F3E8" ns2:textId="77777777" w:rsidR="008B49EB" w:rsidRDefault="008B49EB">
      <w:pPr>
        <w:spacing w:after="50"/>
        <w:ind w:left="360" w:hanging="360"/>
        <w:rPr>
          <w:rFonts w:eastAsia="Aptos"/>
          <w:sz w:val="17"/>
        </w:rPr>
      </w:pPr>
    </w:p>
    <w:p ns2:paraId="19F1FF6C" ns2:textId="77777777" w:rsidR="008B49EB" w:rsidRDefault="008B49EB">
      <w:pPr>
        <w:spacing w:after="50"/>
        <w:ind w:left="360" w:hanging="360"/>
        <w:rPr>
          <w:rFonts w:eastAsia="Aptos"/>
          <w:sz w:val="17"/>
        </w:rPr>
      </w:pPr>
    </w:p>
    <w:p ns2:paraId="73E09AB0" ns2:textId="77777777" w:rsidR="008B49EB" w:rsidRDefault="008B49EB">
      <w:pPr>
        <w:spacing w:after="50"/>
        <w:ind w:left="360" w:hanging="360"/>
        <w:rPr>
          <w:rFonts w:eastAsia="Aptos"/>
          <w:sz w:val="17"/>
        </w:rPr>
      </w:pPr>
    </w:p>
    <w:p ns2:paraId="0A9B4495" ns2:textId="77777777" w:rsidR="008B49EB" w:rsidRDefault="008B49EB">
      <w:pPr>
        <w:spacing w:after="50"/>
        <w:ind w:left="360" w:hanging="360"/>
        <w:rPr>
          <w:rFonts w:eastAsia="Aptos"/>
          <w:sz w:val="17"/>
        </w:rPr>
      </w:pPr>
    </w:p>
    <w:p ns2:paraId="01A2B850" ns2:textId="77777777" w:rsidR="008B49EB" w:rsidRDefault="008B49EB">
      <w:pPr>
        <w:spacing w:after="50"/>
        <w:ind w:left="360" w:hanging="360"/>
        <w:rPr>
          <w:rFonts w:eastAsia="Aptos"/>
          <w:sz w:val="17"/>
        </w:rPr>
      </w:pPr>
    </w:p>
    <w:p ns2:paraId="2063F30D" ns2:textId="77777777" w:rsidR="00423ADE" w:rsidRDefault="00000000">
      <w:pPr>
        <w:pStyle w:val="Heading1"/>
      </w:pPr>
      <w:r>
        <w:t>Supporting information</w:t>
      </w:r>
    </w:p>
    <w:p>
      <w:pPr>
        <w:pStyle w:val="Caption"/>
      </w:pPr>
      <w:r>
        <w:t>S1 Table. Benchmark cohort, evidence and comparator tables.</w:t>
      </w:r>
    </w:p>
    <w:p>
      <w:pPr>
        <w:pStyle w:val="Caption"/>
      </w:pPr>
      <w:r>
        <w:t>S2 Table. Operating points, evidence states and robustness tables.</w:t>
      </w:r>
    </w:p>
    <w:p>
      <w:pPr>
        <w:pStyle w:val="Caption"/>
      </w:pPr>
      <w:r>
        <w:t>S3 Table. Committed structural expectations with their evidence basis and citation.</w:t>
      </w:r>
    </w:p>
    <w:p>
      <w:pPr>
        <w:pStyle w:val="Caption"/>
      </w:pPr>
      <w:r>
        <w:t>S1 Text. Implementation details, statistical conventions and evidence provenance.</w:t>
      </w:r>
    </w:p>
    <w:p>
      <w:pPr>
        <w:pStyle w:val="Caption"/>
      </w:pPr>
      <w:r>
        <w:t>S2 Text. Sensitivity analyses, mechanism-class decomposition and operating-point diagnostics.</w:t>
      </w:r>
    </w:p>
    <w:p>
      <w:pPr>
        <w:pStyle w:val="Caption"/>
      </w:pPr>
      <w:r>
        <w:t>S3 Text. Pathogenicity comparison, robustness, independent validation and a self-caught ground-truth error.</w:t>
      </w:r>
    </w:p>
    <w:p>
      <w:pPr>
        <w:pStyle w:val="Caption"/>
      </w:pPr>
      <w:r>
        <w:t>S1 Fig. Benchmark stress tests for whole-variant mechanism-pattern agreement.</w:t>
      </w:r>
    </w:p>
    <w:p>
      <w:pPr>
        <w:pStyle w:val="Caption"/>
      </w:pPr>
      <w:r>
        <w:t>S2 Fig. Independent binding-axis validation on SKEMPI 2.0.</w:t>
      </w:r>
    </w:p>
    <w:p>
      <w:pPr>
        <w:pStyle w:val="Caption"/>
      </w:pPr>
      <w:r>
        <w:t>S3 Fig. Structural-context comparator performance on the 47-variant population.</w:t>
      </w:r>
    </w:p>
    <w:p>
      <w:pPr>
        <w:pStyle w:val="Caption"/>
      </w:pPr>
      <w:r>
        <w:t>S4 Fig. Priority-score transformation and component ranking.</w:t>
      </w:r>
    </w:p>
    <w:sectPr w:rsidR="00423ADE">
      <w:headerReference w:type="default" r:id="rId21"/>
      <w:footerReference w:type="default" r:id="rId22"/>
      <w:pgSz w:w="12240" w:h="15840"/>
      <w:pgMar w:top="1037" w:right="1123" w:bottom="1037" w:left="1123"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480"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