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29 variants with committed structural mechanisms and 27 benchmark negatives, a structural fraction of 0.518. Reweighting the classes moved the pooled optimum: 2.5 kcal/mol remained the pooled argmax for weights on the structural arm between 0.418 and 0.588, an interval that contains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[68,69].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