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29 variants with committed structural mechanisms and 27 benchmark negatives, a structural fraction of 0.518. Reweighting the classes moved the pooled optimum: 2.5 kcal/mol remained the pooled argmax for weights on the structural arm between 0.418 and 0.588, an interval that contains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