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in the isolated subunit and again in the assembled complex, giving three predicted energy changes: stability in each context, and binding to each partner. With a structural-context tier, these yield two outputs: a priority score that ranks variants for structural follow-up, and a mechanism profile that names which processes are disrupted and therefore which experiments would test them.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the isolated subunit alone detected 7 of the 29 variants carrying a committed structural mechanism, the three axes together detected 20, and the cost was three further calls among 27 no-lesion variants. The mechanism-pattern score was 0.661 against 0.482 for the strongest trivial strategy, but the axis the literature implicates reached the threshold for only 15 of the 29, so COMAVI detects structural disruption more reliably than it localizes it. Both results were stable across the prespecified range of thresholds. Against direct measurements the predicted energies ordered effects correctly but compressed their size, and the priority score placed 17 of the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genetic change can make the protein itself unstable, or leave it folded but weaken its grip on a partner, and the two are tested differently. Our method evaluates each change twice, in the protein alone and in the assembled group, to tell them apart. We tested it on 61 genetic changes in 14 protein systems, each one chosen because published experiments have already established what it does.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for complexes that have not been solved experimentally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Finally,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combined with isolated and assembled structural models yields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Neither output takes a clinical classification or any other pathogenicity evidence as input; both are computed from structure alone.</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whose published mechanism does not resolve to a single axis. Each variant is scored on three axes, meaning three independent predicted energy changes: stability of the isolated subunit, meaning the one protein chain taken out of its complex rather than a single residue; stability of that same chain within the assembled complex; and binding energy to each partner.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four no-lesion variants whose mechanism lies outside those axes, only at the whole-variant level, where the expectation is that no modeled axis is disrupted.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10 graded variants outside it are the BRCT variants, which have no partner chain and therefore no tier: 8 of them fold mechanisms, which is why the 21 structural mechanisms here are a subset of the 29, and 2 no-lesion variants, which is why 25 rather than 27. Variant counts below refer to these populations by name.</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Throughout, a no-lesion commitment records that no axis-specific assay in the primary literature supports a lesion on that axis; it does not record that a structural effect was measured and excluded. S1 Table lists their basis and sources, and the analyses below report the effect of removing them.</w:t>
      </w:r>
    </w:p>
    <w:p>
      <w:r>
        <w:t>Evidence quality differs by direction, because a disruptive effect is far more often followed up with a dedicated biophysical measurement than a normal one is. Of the 42 expectations supported by quantitative evidence (classes E1 and E2; Methods), 28 are destabilizing; of the 57 supported by qualitative, population or inferred evidence (classes E3, E4 and E5 respectively), 8 are. All 9 in the population class and all 18 in the inferred class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two of the fold mechanisms, and they come from 7 of the 13 complexes rather than from one or two. Restricting to the 21 structural mechanisms that sit in a complex, where the assembled axes can apply at all, the contrast is starker: the isolated-subunit axis reaches the threshold for 2 of them against 15 for the three axes together.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examples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Weakening an interface does lower the energy of the assembled complex, which is why the two assembled axes are computed separately: BuildModel reports the fold energy of the chain within the complex and AnalyseComplex the interaction energy between chains, so a fold change localized to the interface is not read as a binding change. In both, however, the assembled-complex stability axis also reaches the threshold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limit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reached the threshold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committed axes overall, not variants),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limit (Methods), the mechanism-pattern score was 0.562, 0.616, 0.652, 0.661 and 0.652. The 2.5 kcal/mol reference is the highest of the five on this cohort, as it is for the unweighted mean of the two arms. The system-resampling intervals overlap at every threshold, however (Fig 2A), so the benchmark does not establish it as an optimum.</w:t>
      </w:r>
    </w:p>
    <w:p>
      <w:pPr>
        <w:jc w:val="center"/>
      </w:pPr>
      <w:r>
        <w:drawing>
          <wp:inline>
            <wp:extent cx="5757683"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757683"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limit (2.9, 2.9 and 3.5 kcal/mol for isolated-subunit stability, assembled-complex stability and binding); the dashed line marks the 2.5 kcal/mol reference. Throughout, red marks quantities measured on the 29 structural-mechanism variants and gray those measured on the 27 no-lesion variants. (A) Mechanism-pattern score, pooled (gray band, 95% interval from resampling the 14 systems) and for each arm. (B) Detection, attribution and correct rejection for the 29 structural-mechanism and 27 no-lesion variants. (C) Direction agreement on each axis (26 isolated-subunit, 22 assembled-complex and 29 binding expectations); open circles mark the best value for each axis. (D) Measured destabilizations of at least 1.0 kcal/mol (n = 42) predicted at or above the threshold with the same sign.</w:t>
      </w:r>
    </w:p>
    <w:p>
      <w:r>
        <w:t>Raising the threshold changed the three binary rates in different ways. Detection was nearly flat: at least one axis reached the threshold for 24 of the 29 mechanisms at 1.0 kcal/mol, for 21 at 1.5 and 2.0, for 20 at 2.5 and for 18 at the prediction-interval limit.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2B and 2C).</w:t>
      </w:r>
    </w:p>
    <w:p>
      <w:r>
        <w:t>The three axes prefer different thresholds (Fig 2C).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and they recover part of the interface shortfall but cannot close it. Holding the two stability axes at the reference and lowering the binding threshold to 1.5 kcal/mol raises attribution from 15 of 29 to 17 and interface attribution from 4 of 12 to 6, at a cost of 2 correct rejections; because that operating point is chosen on the same variants, the gain is an upper bound. The limit is not where the threshold sits: 6 of the 12 interface mechanisms carry a predicted binding energy below 1.0 kcal/mol, the most permissive threshold in the prespecified range, with a median of 0.14, so no placement of a binding threshold reaches them. For those variants the predicted energy is near zero where the literature reports a disrupted interface, which locates the shortfall in the energy prediction rather than in the calling layer.</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prediction-interval limit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(Fig 3A), and the prediction error became more negative as the measured effect grew (ρ = −0.67; Fig 3B).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Glu73 is barnase's catalytic general base, buried and unusually strained in the wild-type fold; FoldX scores the relief of that strain as a stabilization while the measurements register the loss of the catalytic arrangement, so the sign disagreement is a property of this site rather than of the substitutions.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reaches the threshold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separated the two classes (Fig 4A) and placed 9 of the 21 structural mechanisms in the top 10 and 17 in the top 20, with no further recovery by rank 25 (Fig 4B).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each row is one class and points are spread vertically within a row only so that they do not overlap.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Ten of the 11 benign variants in this set entered the benchmark as curated no-lesion controls, so any structural score separates them from pathogenic structural mechanisms partly by construction, and a pathogenicity AUC computed here measures the cohort as much as the method. The exception is informative: MLH1 H718Y is clinically benign and carries a committed monomer-fold destabilization, because the source reports reduced thermal stability and a half-life of 64% of wild type alongside proficient mismatch repair. A variant can be structurally destabilized and clinically neutral at once, which is the separation the two outputs are meant to preserve.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though a disrupted structure is not by itself evidence of disease,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limit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 That still leaves effects below the lowest threshold, so we tested whether the predicted energies carry information there. Of the 96 committed axes with a prediction, 56 fall below the 1.0 kcal/mol screening default, and 12 of those are committed destabilizing. Within that band the predicted magnitude ranks destabilizing axes above neutral ones only weakly: AUC 0.633, against 0.763 over the full range, with a system-resampling interval of 0.385 to 0.813 that includes chance. Sign agreement against direct measurements shows the same pattern, 10 of 16 where the prediction is below 0.5 kcal/mol. The cost is real rather than hypothetical: 6 of the 20 measured effects between 1.0 and 2.5 kcal/mol are predicted below the screening default. A predicted energy below that default should therefore be read as no evidence on that axis rather than as weak evidence of disruption, and recovering genuinely small effects will require a better energy model, not a lower threshold.</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limit. The limit takes, separately for each axis, the upper edge of the 95% prediction interval fitted to FoldX folding and binding predictions [71]: 2.9 kcal/mol for isolated-subunit stability, 2.9 for assembled-complex stability and 3.5 for binding. A call that survives that limit is unlikely to arise from prediction error alone. The released software uses 1.0 kcal/mol as a screening default, and 2.5 kcal/mol is the benchmark reference. S3 Table (threshold_sweep sheet) reports post hoc points above that limit.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