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S1 Text. Implementation details, statistical conventions and evidence provenance.</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Implementation details and statistical conventions</w:t>
            </w:r>
          </w:p>
        </w:tc>
      </w:tr>
      <w:tr>
        <w:tc>
          <w:tcPr>
            <w:tcW w:type="dxa" w:w="2880"/>
          </w:tcPr>
          <w:p>
            <w:r>
              <w:t>Section 2</w:t>
            </w:r>
          </w:p>
        </w:tc>
        <w:tc>
          <w:tcPr>
            <w:tcW w:type="dxa" w:w="2880"/>
          </w:tcPr>
          <w:p>
            <w:r>
              <w:t>Evidence provenance and denominator sensitivity</w:t>
            </w:r>
          </w:p>
        </w:tc>
      </w:tr>
    </w:tbl>
    <w:p>
      <w:r>
        <w:rPr>
          <w:b/>
        </w:rPr>
        <w:t>Section 1. Implementation details and statistical conventions</w:t>
      </w:r>
    </w:p>
    <w:p>
      <w:r>
        <w:t>Each structural context was repaired once and cached. Variants were specified in FoldX notation. BuildModel was run five times on both isolated and assembled coordinates, and AnalyzeComplex was applied pairwise to each resulting mutant complex. Beyond the command, input, replicate count, partner chains, and output directory, no FoldX energy-function parameter was overridden.</w:t>
      </w:r>
    </w:p>
    <w:p>
      <w:r>
        <w:t>foldx --command=RepairPDB --pdb=&lt;structure&gt; --output-dir=&lt;workdir&gt;</w:t>
      </w:r>
    </w:p>
    <w:p>
      <w:r>
        <w:t>foldx --command=BuildModel --pdb=&lt;repaired&gt; --mutant-file=individual_list.txt --numberOfRuns=5 --output-dir=&lt;workdir&gt;</w:t>
      </w:r>
    </w:p>
    <w:p>
      <w:r>
        <w:t>foldx --command=AnalyzeComplex --pdb=&lt;mutant_complex&gt; --analyzeComplexChains=&lt;chainA&gt;,&lt;chainB&gt; --output-dir=&lt;workdir&gt;</w:t>
      </w:r>
    </w:p>
    <w:p>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r>
        <w:t>Structural-context tier implementation. The raw score is Grantham substitution severity [77]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rPr>
        <w:t>Section 2. Evidence provenance and denominator sensitivity</w:t>
      </w:r>
    </w:p>
    <w:p>
      <w:r>
        <w:t>The evidence ledger contains 99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w:r>
        <w:t>Strict variant-level sensitivity analyses used all-axis definitions. Requiring every committed axis to have E1-E3 support left n = 26, 16 structural and 10 no-lesion (tier sensitivity 0.812, 95% CI 0.544-0.960; specificity 0.600, 0.262-0.878). Requiring every committed axis to be direct or coupled left the same 26 variants and returned the same values. Recovery here rests on 16 positives, of which 13 are recovered, so the interval is wide; it is reported because the restriction is a sensitivity view of the full-tier screen, which recovers 17 of the 21 positives on the whole subset (sensitivity 0.810).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