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25 variants with a committed structural mechanism, and the three axes together detected 20, at a cost of three further calls among 32 no-lesion variants. The mechanism-pattern score was 41.0 of 57 graded variants (0.719) against 0.561 for the strongest trivial strategy, but the axis the literature implicates fired for only 14 of the 25. Across the prespecified range of 1.0 to 2.5 kcal/mol, stringency left detection nearly unchanged, lowered attribution and raised correct rejection. Predicted energies ranked measured effects (Spearman ρ = 0.48, n = 63) but compressed their size (slope 0.42). The priority score placed 16 of 17 structural mechanisms in the top 20 of 47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25 disruptive changes; judging the assembled group found 20. Of the 57 we could grade, its predictions fully matched the published evidence for 36 and partly for 10 more, and in a ranked list of 47 it placed 16 of the 17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6:pic>
                  <ns6:nvPicPr>
                    <ns6:cNvPr id="0" name="Fig1.png"/>
                    <ns6:cNvPicPr/>
                  </ns6:nvPicPr>
                  <ns6:blipFill>
                    <a:blip r:embed="rId12"/>
                    <a:stretch>
                      <a:fillRect/>
                    </a:stretch>
                  </ns6:blipFill>
                  <ns6:spPr>
                    <a:xfrm>
                      <a:off x="0" y="0"/>
                      <a:ext cx="5998475" cy="2154940"/>
                    </a:xfrm>
                    <a:prstGeom prst="rect"/>
                  </ns6:spPr>
                </ns6: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[25–58]. Each of the 98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57</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[59–64]; the other systems used AlphaFold 3 models.</w:t>
      </w:r>
    </w:p>
    <w:p>
      <w:r>
        <w:t>Three nested populations serve different claims. All 61 variants receive COMAVI outputs. Of these, 57 are graded against an expected mechanism: 25 carry a committed structural mechanism and 32 are curated to carry no lesion on the modeled axes, which we call no-lesion variants. Four variants are not graded. The mechanism of BRCA1 R1699L and R1699Q, loss of phosphopeptide recognition, cannot be represented by the supplied structure, and TNNI3 R162W and VHL W117R have no committed expectation on any modeled axis (S2 Table, model_scope sheet). Of the 57 graded variants, the 47 in complexes also carry a structural-context tier and form the prioritization population of 17 structural-mechanism and 30 no-lesion variants. The 17 are a subset of the 25; the other eight are BRCT fold mechanisms, which have no partner chain and therefore no tier.</w:t>
      </w:r>
    </w:p>
    <w:p>
      <w:r>
        <w:t>Five graded no-lesion variants carry no committed expectation on any individual axis: CALM1 D96V, N98S and F142L, which act through altered calcium binding [29,30], and SMAD4 I500T and I500V, which act through impaired monoubiquitination [44].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38 expectations supported by quantitative evidence (classes E1 and E2; Methods), 25 are destabilizing; of the 60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25 variants carrying a committed structural mechanism; with the assembled-complex and binding axes the figure is 20. The 13 variants found only through the assembled axes are 6 of the 9 pure interface destabilizers, 5 of the 6 mixed expectations and 2 fold mechanisms, drawn from 7 of the 13 complexes. Among the 17 structural mechanisms that sit in a complex the contrast is starker, 2 against 15. The cost is three further calls on no-lesion variants: correct rejection falls from 29 of 32 to 26. At the 1.0 kcal/mol screening default the same comparison gives 12 against 22 detected and 21 against 14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[51]. Von Willebrand factor R1334Q leaves the isolated A1 domain unchanged (0.01 kcal/mol) but weakens binding to GPIbα by 4.11 kcal/mol; the purified A1 domain is natively folded, binds GPIbα weakly and supports little platelet adhesion [52].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41.0 of 57 (0.719). To judge this value, we graded every trivial fixed strategy on the same variants. The strongest, calling every variant silent, scores 0.561 by accepting all no-lesion variants and missing every mechanism. Calling every variant destabilized on every axis scores 0.386, and permuting the ground truth gives a mean of 0.484 (standard deviation 0.052; p = 0.0005; S2 Text). COMAVI exceeds the best trivial strategy by 0.158.</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57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0.579</w:t>
            </w:r>
          </w:p>
        </w:tc>
        <w:tc>
          <w:tcPr>
            <w:tcW w:type="dxa" w:w="691"/>
          </w:tcPr>
          <w:p>
            <w:pPr>
              <w:spacing w:before="20" w:after="20" w:line="240" w:lineRule="auto"/>
              <w:jc w:val="center"/>
            </w:pPr>
            <w:r/>
            <w:r>
              <w:rPr>
                <w:sz w:val="18"/>
              </w:rPr>
              <w:t>0.649</w:t>
            </w:r>
          </w:p>
        </w:tc>
        <w:tc>
          <w:tcPr>
            <w:tcW w:type="dxa" w:w="691"/>
          </w:tcPr>
          <w:p>
            <w:pPr>
              <w:spacing w:before="20" w:after="20" w:line="240" w:lineRule="auto"/>
              <w:jc w:val="center"/>
            </w:pPr>
            <w:r/>
            <w:r>
              <w:rPr>
                <w:sz w:val="18"/>
              </w:rPr>
              <w:t>0.684</w:t>
            </w:r>
          </w:p>
        </w:tc>
        <w:tc>
          <w:tcPr>
            <w:tcW w:type="dxa" w:w="691"/>
          </w:tcPr>
          <w:p>
            <w:pPr>
              <w:spacing w:before="20" w:after="20" w:line="240" w:lineRule="auto"/>
              <w:jc w:val="center"/>
            </w:pPr>
            <w:r/>
            <w:r>
              <w:rPr>
                <w:sz w:val="18"/>
              </w:rPr>
              <w:t>0.719</w:t>
            </w:r>
          </w:p>
        </w:tc>
        <w:tc>
          <w:tcPr>
            <w:tcW w:type="dxa" w:w="720"/>
          </w:tcPr>
          <w:p>
            <w:pPr>
              <w:spacing w:before="20" w:after="20" w:line="240" w:lineRule="auto"/>
              <w:jc w:val="center"/>
            </w:pPr>
            <w:r/>
            <w:r>
              <w:rPr>
                <w:sz w:val="18"/>
              </w:rPr>
              <w:t>0.711</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0.760</w:t>
            </w:r>
          </w:p>
        </w:tc>
        <w:tc>
          <w:tcPr>
            <w:tcW w:type="dxa" w:w="691"/>
          </w:tcPr>
          <w:p>
            <w:pPr>
              <w:spacing w:before="20" w:after="20" w:line="240" w:lineRule="auto"/>
              <w:jc w:val="center"/>
            </w:pPr>
            <w:r/>
            <w:r>
              <w:rPr>
                <w:sz w:val="18"/>
              </w:rPr>
              <w:t>0.720</w:t>
            </w:r>
          </w:p>
        </w:tc>
        <w:tc>
          <w:tcPr>
            <w:tcW w:type="dxa" w:w="691"/>
          </w:tcPr>
          <w:p>
            <w:pPr>
              <w:spacing w:before="20" w:after="20" w:line="240" w:lineRule="auto"/>
              <w:jc w:val="center"/>
            </w:pPr>
            <w:r/>
            <w:r>
              <w:rPr>
                <w:sz w:val="18"/>
              </w:rPr>
              <w:t>0.640</w:t>
            </w:r>
          </w:p>
        </w:tc>
        <w:tc>
          <w:tcPr>
            <w:tcW w:type="dxa" w:w="691"/>
          </w:tcPr>
          <w:p>
            <w:pPr>
              <w:spacing w:before="20" w:after="20" w:line="240" w:lineRule="auto"/>
              <w:jc w:val="center"/>
            </w:pPr>
            <w:r/>
            <w:r>
              <w:rPr>
                <w:sz w:val="18"/>
              </w:rPr>
              <w:t>0.600</w:t>
            </w:r>
          </w:p>
        </w:tc>
        <w:tc>
          <w:tcPr>
            <w:tcW w:type="dxa" w:w="720"/>
          </w:tcPr>
          <w:p>
            <w:pPr>
              <w:spacing w:before="20" w:after="20" w:line="240" w:lineRule="auto"/>
              <w:jc w:val="center"/>
            </w:pPr>
            <w:r/>
            <w:r>
              <w:rPr>
                <w:sz w:val="18"/>
              </w:rPr>
              <w:t>0.540</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32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0.438</w:t>
            </w:r>
          </w:p>
        </w:tc>
        <w:tc>
          <w:tcPr>
            <w:tcW w:type="dxa" w:w="691"/>
          </w:tcPr>
          <w:p>
            <w:pPr>
              <w:spacing w:before="20" w:after="20" w:line="240" w:lineRule="auto"/>
              <w:jc w:val="center"/>
            </w:pPr>
            <w:r/>
            <w:r>
              <w:rPr>
                <w:sz w:val="18"/>
              </w:rPr>
              <w:t>0.594</w:t>
            </w:r>
          </w:p>
        </w:tc>
        <w:tc>
          <w:tcPr>
            <w:tcW w:type="dxa" w:w="691"/>
          </w:tcPr>
          <w:p>
            <w:pPr>
              <w:spacing w:before="20" w:after="20" w:line="240" w:lineRule="auto"/>
              <w:jc w:val="center"/>
            </w:pPr>
            <w:r/>
            <w:r>
              <w:rPr>
                <w:sz w:val="18"/>
              </w:rPr>
              <w:t>0.719</w:t>
            </w:r>
          </w:p>
        </w:tc>
        <w:tc>
          <w:tcPr>
            <w:tcW w:type="dxa" w:w="691"/>
          </w:tcPr>
          <w:p>
            <w:pPr>
              <w:spacing w:before="20" w:after="20" w:line="240" w:lineRule="auto"/>
              <w:jc w:val="center"/>
            </w:pPr>
            <w:r/>
            <w:r>
              <w:rPr>
                <w:sz w:val="18"/>
              </w:rPr>
              <w:t>0.812</w:t>
            </w:r>
          </w:p>
        </w:tc>
        <w:tc>
          <w:tcPr>
            <w:tcW w:type="dxa" w:w="720"/>
          </w:tcPr>
          <w:p>
            <w:pPr>
              <w:spacing w:before="20" w:after="20" w:line="240" w:lineRule="auto"/>
              <w:jc w:val="center"/>
            </w:pPr>
            <w:r/>
            <w:r>
              <w:rPr>
                <w:sz w:val="18"/>
              </w:rPr>
              <w:t>0.844</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0.880</w:t>
            </w:r>
          </w:p>
        </w:tc>
        <w:tc>
          <w:tcPr>
            <w:tcW w:type="dxa" w:w="691"/>
          </w:tcPr>
          <w:p>
            <w:pPr>
              <w:spacing w:before="20" w:after="20" w:line="240" w:lineRule="auto"/>
              <w:jc w:val="center"/>
            </w:pPr>
            <w:r/>
            <w:r>
              <w:rPr>
                <w:sz w:val="18"/>
              </w:rPr>
              <w:t>0.800</w:t>
            </w:r>
          </w:p>
        </w:tc>
        <w:tc>
          <w:tcPr>
            <w:tcW w:type="dxa" w:w="691"/>
          </w:tcPr>
          <w:p>
            <w:pPr>
              <w:spacing w:before="20" w:after="20" w:line="240" w:lineRule="auto"/>
              <w:jc w:val="center"/>
            </w:pPr>
            <w:r/>
            <w:r>
              <w:rPr>
                <w:sz w:val="18"/>
              </w:rPr>
              <w:t>0.800</w:t>
            </w:r>
          </w:p>
        </w:tc>
        <w:tc>
          <w:tcPr>
            <w:tcW w:type="dxa" w:w="691"/>
          </w:tcPr>
          <w:p>
            <w:pPr>
              <w:spacing w:before="20" w:after="20" w:line="240" w:lineRule="auto"/>
              <w:jc w:val="center"/>
            </w:pPr>
            <w:r/>
            <w:r>
              <w:rPr>
                <w:sz w:val="18"/>
              </w:rPr>
              <w:t>0.800</w:t>
            </w:r>
          </w:p>
        </w:tc>
        <w:tc>
          <w:tcPr>
            <w:tcW w:type="dxa" w:w="720"/>
          </w:tcPr>
          <w:p>
            <w:pPr>
              <w:spacing w:before="20" w:after="20" w:line="240" w:lineRule="auto"/>
              <w:jc w:val="center"/>
            </w:pPr>
            <w:r/>
            <w:r>
              <w:rPr>
                <w:sz w:val="18"/>
              </w:rPr>
              <w:t>0.720</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0.480</w:t>
            </w:r>
          </w:p>
        </w:tc>
        <w:tc>
          <w:tcPr>
            <w:tcW w:type="dxa" w:w="691"/>
          </w:tcPr>
          <w:p>
            <w:pPr>
              <w:spacing w:before="20" w:after="20" w:line="240" w:lineRule="auto"/>
              <w:jc w:val="center"/>
            </w:pPr>
            <w:r/>
            <w:r>
              <w:rPr>
                <w:sz w:val="18"/>
              </w:rPr>
              <w:t>0.400</w:t>
            </w:r>
          </w:p>
        </w:tc>
        <w:tc>
          <w:tcPr>
            <w:tcW w:type="dxa" w:w="691"/>
          </w:tcPr>
          <w:p>
            <w:pPr>
              <w:spacing w:before="20" w:after="20" w:line="240" w:lineRule="auto"/>
              <w:jc w:val="center"/>
            </w:pPr>
            <w:r/>
            <w:r>
              <w:rPr>
                <w:sz w:val="18"/>
              </w:rPr>
              <w:t>0.360</w:t>
            </w:r>
          </w:p>
        </w:tc>
        <w:tc>
          <w:tcPr>
            <w:tcW w:type="dxa" w:w="691"/>
          </w:tcPr>
          <w:p>
            <w:pPr>
              <w:spacing w:before="20" w:after="20" w:line="240" w:lineRule="auto"/>
              <w:jc w:val="center"/>
            </w:pPr>
            <w:r/>
            <w:r>
              <w:rPr>
                <w:sz w:val="18"/>
              </w:rPr>
              <w:t>0.280</w:t>
            </w:r>
          </w:p>
        </w:tc>
        <w:tc>
          <w:tcPr>
            <w:tcW w:type="dxa" w:w="720"/>
          </w:tcPr>
          <w:p>
            <w:pPr>
              <w:spacing w:before="20" w:after="20" w:line="240" w:lineRule="auto"/>
              <w:jc w:val="center"/>
            </w:pPr>
            <w:r/>
            <w:r>
              <w:rPr>
                <w:sz w:val="18"/>
              </w:rPr>
              <w:t>0.200</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25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0.720</w:t>
            </w:r>
          </w:p>
        </w:tc>
        <w:tc>
          <w:tcPr>
            <w:tcW w:type="dxa" w:w="691"/>
          </w:tcPr>
          <w:p>
            <w:pPr>
              <w:spacing w:before="20" w:after="20" w:line="240" w:lineRule="auto"/>
              <w:jc w:val="center"/>
            </w:pPr>
            <w:r/>
            <w:r>
              <w:rPr>
                <w:sz w:val="18"/>
              </w:rPr>
              <w:t>0.680</w:t>
            </w:r>
          </w:p>
        </w:tc>
        <w:tc>
          <w:tcPr>
            <w:tcW w:type="dxa" w:w="691"/>
          </w:tcPr>
          <w:p>
            <w:pPr>
              <w:spacing w:before="20" w:after="20" w:line="240" w:lineRule="auto"/>
              <w:jc w:val="center"/>
            </w:pPr>
            <w:r/>
            <w:r>
              <w:rPr>
                <w:sz w:val="18"/>
              </w:rPr>
              <w:t>0.640</w:t>
            </w:r>
          </w:p>
        </w:tc>
        <w:tc>
          <w:tcPr>
            <w:tcW w:type="dxa" w:w="691"/>
          </w:tcPr>
          <w:p>
            <w:pPr>
              <w:spacing w:before="20" w:after="20" w:line="240" w:lineRule="auto"/>
              <w:jc w:val="center"/>
            </w:pPr>
            <w:r/>
            <w:r>
              <w:rPr>
                <w:sz w:val="18"/>
              </w:rPr>
              <w:t>0.560</w:t>
            </w:r>
          </w:p>
        </w:tc>
        <w:tc>
          <w:tcPr>
            <w:tcW w:type="dxa" w:w="720"/>
          </w:tcPr>
          <w:p>
            <w:pPr>
              <w:spacing w:before="20" w:after="20" w:line="240" w:lineRule="auto"/>
              <w:jc w:val="center"/>
            </w:pPr>
            <w:r/>
            <w:r>
              <w:rPr>
                <w:sz w:val="18"/>
              </w:rPr>
              <w:t>0.480</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32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0.438</w:t>
            </w:r>
          </w:p>
        </w:tc>
        <w:tc>
          <w:tcPr>
            <w:tcW w:type="dxa" w:w="691"/>
          </w:tcPr>
          <w:p>
            <w:pPr>
              <w:spacing w:before="20" w:after="20" w:line="240" w:lineRule="auto"/>
              <w:jc w:val="center"/>
            </w:pPr>
            <w:r/>
            <w:r>
              <w:rPr>
                <w:sz w:val="18"/>
              </w:rPr>
              <w:t>0.594</w:t>
            </w:r>
          </w:p>
        </w:tc>
        <w:tc>
          <w:tcPr>
            <w:tcW w:type="dxa" w:w="691"/>
          </w:tcPr>
          <w:p>
            <w:pPr>
              <w:spacing w:before="20" w:after="20" w:line="240" w:lineRule="auto"/>
              <w:jc w:val="center"/>
            </w:pPr>
            <w:r/>
            <w:r>
              <w:rPr>
                <w:sz w:val="18"/>
              </w:rPr>
              <w:t>0.719</w:t>
            </w:r>
          </w:p>
        </w:tc>
        <w:tc>
          <w:tcPr>
            <w:tcW w:type="dxa" w:w="691"/>
          </w:tcPr>
          <w:p>
            <w:pPr>
              <w:spacing w:before="20" w:after="20" w:line="240" w:lineRule="auto"/>
              <w:jc w:val="center"/>
            </w:pPr>
            <w:r/>
            <w:r>
              <w:rPr>
                <w:sz w:val="18"/>
              </w:rPr>
              <w:t>0.812</w:t>
            </w:r>
          </w:p>
        </w:tc>
        <w:tc>
          <w:tcPr>
            <w:tcW w:type="dxa" w:w="720"/>
          </w:tcPr>
          <w:p>
            <w:pPr>
              <w:spacing w:before="20" w:after="20" w:line="240" w:lineRule="auto"/>
              <w:jc w:val="center"/>
            </w:pPr>
            <w:r/>
            <w:r>
              <w:rPr>
                <w:sz w:val="18"/>
              </w:rPr>
              <w:t>0.844</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32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0.656</w:t>
            </w:r>
          </w:p>
        </w:tc>
        <w:tc>
          <w:tcPr>
            <w:tcW w:type="dxa" w:w="691"/>
          </w:tcPr>
          <w:p>
            <w:pPr>
              <w:spacing w:before="20" w:after="20" w:line="240" w:lineRule="auto"/>
              <w:jc w:val="center"/>
            </w:pPr>
            <w:r/>
            <w:r>
              <w:rPr>
                <w:sz w:val="18"/>
              </w:rPr>
              <w:t>0.750</w:t>
            </w:r>
          </w:p>
        </w:tc>
        <w:tc>
          <w:tcPr>
            <w:tcW w:type="dxa" w:w="691"/>
          </w:tcPr>
          <w:p>
            <w:pPr>
              <w:spacing w:before="20" w:after="20" w:line="240" w:lineRule="auto"/>
              <w:jc w:val="center"/>
            </w:pPr>
            <w:r/>
            <w:r>
              <w:rPr>
                <w:sz w:val="18"/>
              </w:rPr>
              <w:t>0.844</w:t>
            </w:r>
          </w:p>
        </w:tc>
        <w:tc>
          <w:tcPr>
            <w:tcW w:type="dxa" w:w="691"/>
          </w:tcPr>
          <w:p>
            <w:pPr>
              <w:spacing w:before="20" w:after="20" w:line="240" w:lineRule="auto"/>
              <w:jc w:val="center"/>
            </w:pPr>
            <w:r/>
            <w:r>
              <w:rPr>
                <w:sz w:val="18"/>
              </w:rPr>
              <w:t>0.906</w:t>
            </w:r>
          </w:p>
        </w:tc>
        <w:tc>
          <w:tcPr>
            <w:tcW w:type="dxa" w:w="720"/>
          </w:tcPr>
          <w:p>
            <w:pPr>
              <w:spacing w:before="20" w:after="20" w:line="240" w:lineRule="auto"/>
              <w:jc w:val="center"/>
            </w:pPr>
            <w:r/>
            <w:r>
              <w:rPr>
                <w:sz w:val="18"/>
              </w:rPr>
              <w:t>0.906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0.701</w:t>
            </w:r>
          </w:p>
        </w:tc>
        <w:tc>
          <w:tcPr>
            <w:tcW w:type="dxa" w:w="691"/>
          </w:tcPr>
          <w:p>
            <w:pPr>
              <w:spacing w:before="20" w:after="20" w:line="240" w:lineRule="auto"/>
              <w:jc w:val="center"/>
            </w:pPr>
            <w:r/>
            <w:r>
              <w:rPr>
                <w:sz w:val="18"/>
              </w:rPr>
              <w:t>0.740</w:t>
            </w:r>
          </w:p>
        </w:tc>
        <w:tc>
          <w:tcPr>
            <w:tcW w:type="dxa" w:w="691"/>
          </w:tcPr>
          <w:p>
            <w:pPr>
              <w:spacing w:before="20" w:after="20" w:line="240" w:lineRule="auto"/>
              <w:jc w:val="center"/>
            </w:pPr>
            <w:r/>
            <w:r>
              <w:rPr>
                <w:sz w:val="18"/>
              </w:rPr>
              <w:t>0.753</w:t>
            </w:r>
          </w:p>
        </w:tc>
        <w:tc>
          <w:tcPr>
            <w:tcW w:type="dxa" w:w="691"/>
          </w:tcPr>
          <w:p>
            <w:pPr>
              <w:spacing w:before="20" w:after="20" w:line="240" w:lineRule="auto"/>
              <w:jc w:val="center"/>
            </w:pPr>
            <w:r/>
            <w:r>
              <w:rPr>
                <w:sz w:val="18"/>
              </w:rPr>
              <w:t>0.753</w:t>
            </w:r>
          </w:p>
        </w:tc>
        <w:tc>
          <w:tcPr>
            <w:tcW w:type="dxa" w:w="720"/>
          </w:tcPr>
          <w:p>
            <w:pPr>
              <w:spacing w:before="20" w:after="20" w:line="240" w:lineRule="auto"/>
              <w:jc w:val="center"/>
            </w:pPr>
            <w:r/>
            <w:r>
              <w:rPr>
                <w:sz w:val="18"/>
              </w:rPr>
              <w:t>0.727</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47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0.723</w:t>
            </w:r>
          </w:p>
        </w:tc>
        <w:tc>
          <w:tcPr>
            <w:tcW w:type="dxa" w:w="691"/>
          </w:tcPr>
          <w:p>
            <w:pPr>
              <w:spacing w:before="20" w:after="20" w:line="240" w:lineRule="auto"/>
              <w:jc w:val="center"/>
            </w:pPr>
            <w:r/>
            <w:r>
              <w:rPr>
                <w:sz w:val="18"/>
              </w:rPr>
              <w:t>0.723</w:t>
            </w:r>
          </w:p>
        </w:tc>
        <w:tc>
          <w:tcPr>
            <w:tcW w:type="dxa" w:w="691"/>
          </w:tcPr>
          <w:p>
            <w:pPr>
              <w:spacing w:before="20" w:after="20" w:line="240" w:lineRule="auto"/>
              <w:jc w:val="center"/>
            </w:pPr>
            <w:r/>
            <w:r>
              <w:rPr>
                <w:sz w:val="18"/>
              </w:rPr>
              <w:t>0.723</w:t>
            </w:r>
          </w:p>
        </w:tc>
        <w:tc>
          <w:tcPr>
            <w:tcW w:type="dxa" w:w="691"/>
          </w:tcPr>
          <w:p>
            <w:pPr>
              <w:spacing w:before="20" w:after="20" w:line="240" w:lineRule="auto"/>
              <w:jc w:val="center"/>
            </w:pPr>
            <w:r/>
            <w:r>
              <w:rPr>
                <w:sz w:val="18"/>
              </w:rPr>
              <w:t>0.723</w:t>
            </w:r>
          </w:p>
        </w:tc>
        <w:tc>
          <w:tcPr>
            <w:tcW w:type="dxa" w:w="720"/>
          </w:tcPr>
          <w:p>
            <w:pPr>
              <w:spacing w:before="20" w:after="20" w:line="240" w:lineRule="auto"/>
              <w:jc w:val="center"/>
            </w:pPr>
            <w:r/>
            <w:r>
              <w:rPr>
                <w:sz w:val="18"/>
              </w:rPr>
              <w:t>0.723</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47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0.943</w:t>
            </w:r>
          </w:p>
        </w:tc>
        <w:tc>
          <w:tcPr>
            <w:tcW w:type="dxa" w:w="691"/>
          </w:tcPr>
          <w:p>
            <w:pPr>
              <w:spacing w:before="20" w:after="20" w:line="240" w:lineRule="auto"/>
              <w:jc w:val="center"/>
            </w:pPr>
            <w:r/>
            <w:r>
              <w:rPr>
                <w:sz w:val="18"/>
              </w:rPr>
              <w:t>0.943</w:t>
            </w:r>
          </w:p>
        </w:tc>
        <w:tc>
          <w:tcPr>
            <w:tcW w:type="dxa" w:w="691"/>
          </w:tcPr>
          <w:p>
            <w:pPr>
              <w:spacing w:before="20" w:after="20" w:line="240" w:lineRule="auto"/>
              <w:jc w:val="center"/>
            </w:pPr>
            <w:r/>
            <w:r>
              <w:rPr>
                <w:sz w:val="18"/>
              </w:rPr>
              <w:t>0.943</w:t>
            </w:r>
          </w:p>
        </w:tc>
        <w:tc>
          <w:tcPr>
            <w:tcW w:type="dxa" w:w="691"/>
          </w:tcPr>
          <w:p>
            <w:pPr>
              <w:spacing w:before="20" w:after="20" w:line="240" w:lineRule="auto"/>
              <w:jc w:val="center"/>
            </w:pPr>
            <w:r/>
            <w:r>
              <w:rPr>
                <w:sz w:val="18"/>
              </w:rPr>
              <w:t>0.943</w:t>
            </w:r>
          </w:p>
        </w:tc>
        <w:tc>
          <w:tcPr>
            <w:tcW w:type="dxa" w:w="720"/>
          </w:tcPr>
          <w:p>
            <w:pPr>
              <w:spacing w:before="20" w:after="20" w:line="240" w:lineRule="auto"/>
              <w:jc w:val="center"/>
            </w:pPr>
            <w:r/>
            <w:r>
              <w:rPr>
                <w:sz w:val="18"/>
              </w:rPr>
              <w:t>0.943</w:t>
            </w:r>
          </w:p>
        </w:tc>
      </w:tr>
    </w:tbl>
    <w:p>
      <w:r>
        <w:t>Values at the four uniform thresholds (kcal/mol) and at the per-axis prediction-interval bound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0.600 over the 25 structural-mechanism variants and 0.812 over the 32 no-lesion variants. Asked as binary questions, the same calls give three rates. At least one axis reached the threshold for 20 of the 25 mechanisms (detection, 0.800), and the axis the literature implicates reached it for 14 (attribution, 0.560). No axis reached it for 26 of the 32 no-lesion variants (correct rejection, 0.812). Binary attribution agrees with the graded structural arm to within 0.040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nine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25 expectations for isolated-subunit stability, 17 of 22 for assembled-complex stability and 22 of 30 for binding (58 of 77 overall), rates within 0.040 of one another. The 47 complex variants and the 10 BRCT variants scored similarly (0.723 and 0.700), so neither subset determines the pooled result.</w:t>
      </w:r>
    </w:p>
    <w:p>
      <w:r>
        <w:t>No single protein system carries the result. Resampling whole systems gave a 95% interval of 0.625–0.821 for the mechanism-pattern score, and leaving out one system at a time gave values from 0.704 to 0.750 (S1 Fig). Without the five whole-variant no-lesion variants, the score is 36.0 of 52 (0.692). Because the 57 variants come from 14 clustered systems, 0.719 measures agreement on this benchmark, not general accuracy.</w:t>
      </w:r>
    </w:p>
    <w:p>
      <w:r>
        <w:t>Performance was lower on predicted than on experimental complexes. Seven systems use an experimental complex structure and seven an AlphaFold 3 model; the mechanism-pattern score was 22.0 of 28 (0.786) on the experimental systems and 19.0 of 29 (0.655) on the predicted ones, and the prioritization AUC was 1.000 against 0.911. Resampling whole systems within each source puts a 95% interval of −0.057 to 0.329 on the difference of 0.131,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[53],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bound (Methods), the mechanism-pattern score was 0.579, 0.649, 0.684, 0.719 and 0.711.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684531" cy="3788671"/>
            <wp:docPr id="2" name="Picture 2"/>
            <wp:cNvGraphicFramePr>
              <a:graphicFrameLocks noChangeAspect="1"/>
            </wp:cNvGraphicFramePr>
            <a:graphic>
              <a:graphicData uri="http://schemas.openxmlformats.org/drawingml/2006/picture">
                <ns6:pic>
                  <ns6:nvPicPr>
                    <ns6:cNvPr id="0" name="Fig2.png"/>
                    <ns6:cNvPicPr/>
                  </ns6:nvPicPr>
                  <ns6:blipFill>
                    <a:blip r:embed="rId13"/>
                    <a:stretch>
                      <a:fillRect/>
                    </a:stretch>
                  </ns6:blipFill>
                  <ns6:spPr>
                    <a:xfrm>
                      <a:off x="0" y="0"/>
                      <a:ext cx="5684531" cy="3788671"/>
                    </a:xfrm>
                    <a:prstGeom prst="rect"/>
                  </ns6:spPr>
                </ns6:pic>
              </a:graphicData>
            </a:graphic>
          </wp:inline>
        </w:drawing>
      </w:r>
    </w:p>
    <w:p>
      <w:r>
        <w:rPr>
          <w:b/>
        </w:rPr>
        <w:t>Fig 2.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25 structural-mechanism and 32 no-lesion variants. (B) Direction agreement on each axis (25 isolated-subunit, 22 assembled-complex and 30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22 of the 25 mechanisms at 1.0 kcal/mol, for 20 at 1.5 to 2.5 kcal/mol and for 18 at the bound. Attribution fell at every step, from 18 to 17, 16, 14 and 12. Correct rejection rose at every step, from 14 of 32 to 19, 23, 26 and 27. Stringency therefore buys rejection by losing the correct axis, not by missing the lesion. The structural arm fell from 0.760 to 0.540 and the no-lesion arm rose from 0.438 to 0.844, and the two cross between 1.5 and 2.0 kcal/mol (Fig 2A and 2C).</w:t>
      </w:r>
    </w:p>
    <w:p>
      <w:r>
        <w:t>The three axes prefer different thresholds (Fig 2B). Binding agreement was highest at 1.0 and 1.5 kcal/mol (24 of 30) and fell to 22 at the reference. Assembled-complex agreement rose from 12 of 22 at 1.0 kcal/mol to 17 at the reference, and isolated-subunit agreement peaked at 2.0 and 2.5 kcal/mol (19 of 25). The denominators do not change across thresholds. A single global threshold is therefore set where the two stability axes perform best, and binding gives up 0.067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[65], 10 unfolding free energies for the BRCA1 BRCT domain [24] and 5 hemoglobin assembly energies [54–56]. Predicted and measured values were rank-correlated (Spearman ρ = 0.48, p = 5.6 × 10</w:t>
      </w:r>
      <w:r>
        <w:rPr>
          <w:vertAlign w:val="superscript"/>
        </w:rPr>
        <w:t>−5</w:t>
      </w:r>
      <w:r>
        <w:t>), but the fitted slope was 0.42, and the prediction error became more negative as the measured effect grew (ρ = −0.66). A measured destabilization of 2.5 kcal/mol corresponds to a predicted 1.43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6:pic>
                  <ns6:nvPicPr>
                    <ns6:cNvPr id="0" name="Fig3.png"/>
                    <ns6:cNvPicPr/>
                  </ns6:nvPicPr>
                  <ns6:blipFill>
                    <a:blip r:embed="rId14"/>
                    <a:stretch>
                      <a:fillRect/>
                    </a:stretch>
                  </ns6:blipFill>
                  <ns6:spPr>
                    <a:xfrm>
                      <a:off x="0" y="0"/>
                      <a:ext cx="5739395" cy="4248920"/>
                    </a:xfrm>
                    <a:prstGeom prst="rect"/>
                  </ns6:spPr>
                </ns6: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0.42)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0.63 (n = 56) while the slope barely changes (0.43),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47-variant prioritization population. The structural-context tier uses no energy. It placed all 17 structural-mechanism variants in Tier 1 or 2 (sensitivity 1.000, 95% confidence interval 0.805–1.000) together with 13 of the 30 no-lesion variants (specificity 0.567, 0.374–0.745; within-system permutation p = 0.0095). The tier is therefore permissive, and because it cannot identify which process is affected, it never overrides an axis energy. Interface status alone was more specific (0.767) and recovered 15 of the 17 mechanisms; the full tier also recovered two structural-mechanism variants outside any detected interface (S2 Table, context_comparators sheet; S4 Fig). On the 26 variants whose every committed axis has E1 to E3 support, sensitivity was unchanged and specificity was 0.615 (S1 Text).</w:t>
      </w:r>
    </w:p>
    <w:p>
      <w:r>
        <w:t>We measured ranking quality by the ROC AUC, the probability that a randomly chosen structural-mechanism variant outranks a randomly chosen no-lesion variant. The energy component alone reached an AUC of 0.857 and placed 15 of the 17 mechanisms in the top 20, but no more by rank 25. It ranks HBB N102T 37th and MLH1 Q542L 33rd of 47, although the tier places both in Tier 1. The context component alone reached 0.890 and recovered 14 mechanisms in the top 20 and 16 by rank 25. The two components fail on different variants. Crossing the energy calls with the tier gives four descriptive evidence states, according to whether an axis fires and whether the tier is 1–2: convergent, energy only, context only and neither. At 1.0 and at 2.5 kcal/mol, no structural-mechanism variant falls in the energy-only or the neither state. At 2.5 kcal/mol, 15 mechanisms are convergent and 2 context-only, whereas the energy-only state holds 3 no-lesion variants (8 at 1.0 kcal/mol) and no mechanism (S3 Table, evidence_states sheet). In this cohort, an energy call without supporting structural context marks a no-lesion variant.</w:t>
      </w:r>
    </w:p>
    <w:p>
      <w:r>
        <w:t>Combining the two components recovered what neither reaches alone (Fig 4). The priority score placed 9 of the 17 structural mechanisms in the top 10, 16 in the top 20 and all 17 in the top 25. Its ROC AUC was 0.943 and its average precision 0.818, against a positive rate of 17 in 47; without the five whole-variant no-lesion variants, the AUC was 0.939.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6:pic>
                  <ns6:nvPicPr>
                    <ns6:cNvPr id="0" name="Fig4.png"/>
                    <ns6:cNvPicPr/>
                  </ns6:nvPicPr>
                  <ns6:blipFill>
                    <a:blip r:embed="rId15"/>
                    <a:stretch>
                      <a:fillRect/>
                    </a:stretch>
                  </ns6:blipFill>
                  <ns6:spPr>
                    <a:xfrm>
                      <a:off x="0" y="0"/>
                      <a:ext cx="5888747" cy="2060452"/>
                    </a:xfrm>
                    <a:prstGeom prst="rect"/>
                  </ns6:spPr>
                </ns6:pic>
              </a:graphicData>
            </a:graphic>
          </wp:inline>
        </w:drawing>
      </w:r>
    </w:p>
    <w:p>
      <w:r>
        <w:rPr>
          <w:b/>
        </w:rPr>
        <w:t>Fig 4. The priority score concentrates structural mechanisms at the top of the ranking.</w:t>
      </w:r>
      <w:r>
        <w:t xml:space="preserve"> </w:t>
      </w:r>
      <w:r>
        <w:t>(A) Priority scores of the 17 structural-mechanism and 30 no-lesion variants in the 47-variant prioritization population. (B) Structural mechanisms recovered as a function of rank depth for the priority score and for its context and energy components ranked alone.</w:t>
      </w:r>
    </w:p>
    <w:p>
      <w:r>
        <w:t>A high rank does not guarantee a correct mechanism. Of the 16 structural mechanisms in the top 20, 5 are graded consistent, 9 partial and 2 inconsistent; the only mechanism outside the top 20, HBB W37Y at rank 21, is graded partial. The two inconsistent cases, MLH1 R755W at rank 11 and PIK3CA E545K at rank 15, fail the same way. FoldX returns a large favorable interaction energy for each (−9.7 and −4.6 kcal/mol), which COMAVI reads as strengthened binding. For E545K the axis is right but the direction is wrong, because releasing the inhibitory contact with p85 is energetically favorable [40]. For R755W the literature reports reduced abundance with binding preserved [32,36],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18 are curated to carry no lesion on any modeled axis and 16 carry a structural mechanism; the remaining 2 are ungraded. Half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0.943.</w:t>
      </w:r>
    </w:p>
    <w:p>
      <w:pPr>
        <w:jc w:val="center"/>
      </w:pPr>
      <w:r>
        <w:drawing>
          <wp:inline>
            <wp:extent cx="5797307" cy="2319532"/>
            <wp:docPr id="5" name="Picture 5"/>
            <wp:cNvGraphicFramePr>
              <a:graphicFrameLocks noChangeAspect="1"/>
            </wp:cNvGraphicFramePr>
            <a:graphic>
              <a:graphicData uri="http://schemas.openxmlformats.org/drawingml/2006/picture">
                <ns6:pic>
                  <ns6:nvPicPr>
                    <ns6:cNvPr id="0" name="Fig5.png"/>
                    <ns6:cNvPicPr/>
                  </ns6:nvPicPr>
                  <ns6:blipFill>
                    <a:blip r:embed="rId16"/>
                    <a:stretch>
                      <a:fillRect/>
                    </a:stretch>
                  </ns6:blipFill>
                  <ns6:spPr>
                    <a:xfrm>
                      <a:off x="0" y="0"/>
                      <a:ext cx="5797307" cy="2319532"/>
                    </a:xfrm>
                    <a:prstGeom prst="rect"/>
                  </ns6:spPr>
                </ns6: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[15,66,67]. Because each call is reported with its continuous energy, a user can re-read it at another threshold; 21 of the 57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[68].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[69];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57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0.943,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[3,70,71].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[72,73]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[74].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[75],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[69].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m:oMathPara xmlns:m="http://schemas.openxmlformats.org/officeDocument/2006/math">
        <m:oMath>
          <m:r>
            <m:t xml:space="preserve">R = </m:t>
          </m:r>
          <m:limLow>
            <m:e>
              <m:r>
                <m:rPr>
                  <m:sty m:val="p"/>
                </m:rPr>
                <m:t xml:space="preserve">max</m:t>
              </m:r>
            </m:e>
            <m:lim>
              <m:r>
                <m:t xml:space="preserve">j</m:t>
              </m:r>
            </m:lim>
          </m:limLow>
          <m:r>
            <m:t xml:space="preserve"> </m:t>
          </m:r>
          <m:f>
            <m:num>
              <m:r>
                <m:t xml:space="preserve">|</m:t>
              </m:r>
              <m:sSub>
                <m:e>
                  <m:r>
                    <m:t xml:space="preserve">ΔΔG</m:t>
                  </m:r>
                </m:e>
                <m:sub>
                  <m:r>
                    <m:t xml:space="preserve">j</m:t>
                  </m:r>
                </m:sub>
              </m:sSub>
              <m:r>
                <m:t xml:space="preserve">|</m:t>
              </m:r>
            </m:num>
            <m:den>
              <m:sSub>
                <m:e>
                  <m:r>
                    <m:t xml:space="preserve">τ</m:t>
                  </m:r>
                </m:e>
                <m:sub>
                  <m:r>
                    <m:t xml:space="preserve">j</m:t>
                  </m:r>
                </m:sub>
              </m:sSub>
            </m:den>
          </m:f>
        </m:oMath>
      </m:oMathPara>
    </w:p>
    <w:p>
      <w:r>
        <w:t>R is compressed so that a single extreme prediction cannot dominate the ranking:</w:t>
      </w:r>
    </w:p>
    <w:p>
      <m:oMathPara xmlns:m="http://schemas.openxmlformats.org/officeDocument/2006/math">
        <m:oMath>
          <m:r>
            <m:t xml:space="preserve">E = </m:t>
          </m:r>
          <m:f>
            <m:num>
              <m:r>
                <m:t xml:space="preserve">R</m:t>
              </m:r>
            </m:num>
            <m:den>
              <m:r>
                <m:t xml:space="preserve">1 + R</m:t>
              </m:r>
            </m:den>
          </m:f>
        </m:oMath>
      </m:oMathPara>
    </w:p>
    <w:p>
      <w:r>
        <w:t>The tier T is converted to a context component C, which maps Tiers 1 to 4 to 1, 2/3, 1/3 and 0:</w:t>
      </w:r>
    </w:p>
    <w:p>
      <m:oMathPara xmlns:m="http://schemas.openxmlformats.org/officeDocument/2006/math">
        <m:oMath>
          <m:r>
            <m:t xml:space="preserve">C = </m:t>
          </m:r>
          <m:f>
            <m:num>
              <m:r>
                <m:t xml:space="preserve">4 − T</m:t>
              </m:r>
            </m:num>
            <m:den>
              <m:r>
                <m:t xml:space="preserve">3</m:t>
              </m:r>
            </m:den>
          </m:f>
        </m:oMath>
      </m:oMathPara>
    </w:p>
    <w:p>
      <w:r>
        <w:t>The priority score weights the two components equally:</w:t>
      </w:r>
    </w:p>
    <w:p>
      <m:oMathPara xmlns:m="http://schemas.openxmlformats.org/officeDocument/2006/math">
        <m:oMath>
          <m:r>
            <m:t xml:space="preserve">S = </m:t>
          </m:r>
          <m:f>
            <m:num>
              <m:r>
                <m:t xml:space="preserve">E + C</m:t>
              </m:r>
            </m:num>
            <m:den>
              <m:r>
                <m:t xml:space="preserve">2</m:t>
              </m:r>
            </m:den>
          </m:f>
        </m:oMath>
      </m: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[69]: 2.9 kcal/mol for isolated-subunit stability, 2.9 for assembled-complex stability and 3.5 for binding. A call that survives the bound is unlikely to arise from prediction error alone. The released software uses 1.0 kcal/mol as a screening default, and 2.5 kcal/mol is the benchmark reference. S3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98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17 structural-mechanism variants and the negative class the 30 no-lesion variants in the 47-variant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Raevaara TE, Korhonen MK, Lohi H, Hampel H, Lynch E, Lönnqvist KE, et al. Functional significance and clinical phenotype of nontruncating mismatch repair variants of MLH1. Gastroenterology. 2005;129(2):537–549. doi:10.1053/j.gastro.2005.06.005</w:t>
      </w:r>
    </w:p>
    <w:p>
      <w:r>
        <w:t>34. Drost M, Tiersma Y, Thompson BA, Frederiksen JH, Keijzers G, Glubb D, et al. A functional assay-based procedure to classify mismatch repair gene variants in Lynch syndrome. Genet Med. 2019;21(7):1486–1496. doi:10.1038/s41436-018-0372-2</w:t>
      </w:r>
    </w:p>
    <w:p>
      <w:r>
        <w:t>35. Thompson BA, Spurdle AB, Plazzer JP, Greenblatt MS, Akagi K, Al-Mulla F, et al. Application of a 5-tiered scheme for standardized classification of 2,360 unique mismatch repair gene variants in the InSiGHT locus-specific database. Nat Genet. 2014;46(2):107–115. doi:10.1038/ng.2854</w:t>
      </w:r>
    </w:p>
    <w:p>
      <w:r>
        <w:t>36. Larsen-Ledet S, Panfilova A, Stein A. Disentangling the mutational effects on protein stability and interaction of human MLH1. PLoS Genet. 2025;21(4):e1011681. doi:10.1371/journal.pgen.1011681</w:t>
      </w:r>
    </w:p>
    <w:p>
      <w:r>
        <w:t>37. Ollila S, Sarantaus L, Kariola R, Chan P, Hampel H, Holinski–Feder E, et al. Pathogenicity of MSH2 missense mutations is typically associated with impaired repair capability of the mutated protein. Gastroenterology. 2006;131(5):1408–1417. doi:10.1053/j.gastro.2006.08.044</w:t>
      </w:r>
    </w:p>
    <w:p>
      <w:r>
        <w:t>38. Ollila S, Dermadi Bebek D, Jiricny J, Nyström M. Mechanisms of pathogenicity in human MSH2 missense mutants. Hum Mutat. 2008;29(11):1355–1363. doi:10.1002/humu.20893</w:t>
      </w:r>
    </w:p>
    <w:p>
      <w:r>
        <w:t>39. Jia X, Burugula BB, Chen V, Lemons RM, Jayakody S, Maksutova M, et al. Massively parallel functional testing of MSH2 missense variants conferring Lynch syndrome risk. Am J Hum Genet. 2021;108(1):163–175. doi:10.1016/j.ajhg.2020.12.003</w:t>
      </w:r>
    </w:p>
    <w:p>
      <w:r>
        <w:t>40. Zhao L, Vogt PK. Helical domain and kinase domain mutations in p110α of phosphatidylinositol 3-kinase induce gain of function by different mechanisms. Proc Natl Acad Sci USA. 2008;105(7):2652–2657. doi:10.1073/pnas.0712169105</w:t>
      </w:r>
    </w:p>
    <w:p>
      <w:r>
        <w:t>41. Mandelker D, Gabelli SB, Schmidt-Kittler O, Zhu J, Cheong I, Huang CH, et al. A frequent kinase domain mutation that changes the interaction between PI3Kα and the membrane. Proc Natl Acad Sci USA. 2009;106(40):16996–17001. doi:10.1073/pnas.0908444106</w:t>
      </w:r>
    </w:p>
    <w:p>
      <w:r>
        <w:t>42. Jaiswal BS, Janakiraman V, Kljavin NM, Chaudhuri S, Stern HM, Wang W, et al. Somatic mutations in p85α promote tumorigenesis through class IA PI3K activation. Cancer Cell. 2009;16(6):463–474. doi:10.1016/j.ccr.2009.10.016</w:t>
      </w:r>
    </w:p>
    <w:p>
      <w:r>
        <w:t>43. De Bosscher K, Hill CS, Nicolás FJ. Molecular and functional consequences of Smad4 C-terminal missense mutations in colorectal tumour cells. Biochem J. 2004;379(Pt 1):209–216. doi:10.1042/bj20031886</w:t>
      </w:r>
    </w:p>
    <w:p>
      <w:r>
        <w:t>44. Le Goff C, Mahaut C, Abhyankar A, Le Goff W, Serre V, Afenjar A, et al. Mutations at a single codon in Mad homology 2 domain of SMAD4 cause Myhre syndrome. Nat Genet. 2012;44(1):85–88. doi:10.1038/ng.1016</w:t>
      </w:r>
    </w:p>
    <w:p>
      <w:r>
        <w:t>45. Lanauze CB, Sehgal P, Hayer K, Torres-Diz M, Pippin JA, Grant SFA, et al. Colorectal cancer-associated Smad4 R361 hotspot mutations boost Wnt/β-catenin signaling through enhanced Smad4-LEF1 binding. Mol Cancer Res. 2021;19(5):823–833. doi:10.1158/1541-7786.MCR-20-0721</w:t>
      </w:r>
    </w:p>
    <w:p>
      <w:r>
        <w:t>46. Elliott K, Watkins H, Redwood CS. Altered regulatory properties of human cardiac troponin I mutants that cause hypertrophic cardiomyopathy. J Biol Chem. 2000;275(29):22069–22074. doi:10.1074/jbc.M002502200</w:t>
      </w:r>
    </w:p>
    <w:p>
      <w:r>
        <w:t>47. Frazier A, Judge DP, Schulman SP, Johnson N, Holmes KW, Murphy AM. Familial hypertrophic cardiomyopathy associated with cardiac β-myosin heavy chain and troponin I mutations. Pediatr Cardiol. 2008;29(4):846–850. doi:10.1007/s00246-007-9177-9</w:t>
      </w:r>
    </w:p>
    <w:p>
      <w:r>
        <w:t>48. Takahashi-Yanaga F, Morimoto S, Harada K, Minakami R, Shiraishi F, Ohta M, et al. Functional consequences of the mutations in human cardiac troponin I gene found in familial hypertrophic cardiomyopathy. J Mol Cell Cardiol. 2001;33(12):2095–2107. doi:10.1006/jmcc.2001.1473</w:t>
      </w:r>
    </w:p>
    <w:p>
      <w:r>
        <w:t>49. Stebbins CE, Kaelin WG Jr, Pavletich NP. Structure of the VHL-ElonginC-ElonginB complex: implications for VHL tumor suppressor function. Science. 1999;284(5413):455–461. doi:10.1126/science.284.5413.455</w:t>
      </w:r>
    </w:p>
    <w:p>
      <w:r>
        <w:t>50. Ohh M, Park CW, Ivan M, Hoffman MA, Kim TY, Huang LE, et al. Ubiquitination of hypoxia-inducible factor requires direct binding to the β-domain of the von Hippel-Lindau protein. Nat Cell Biol. 2000;2(7):423–427. doi:10.1038/35017054</w:t>
      </w:r>
    </w:p>
    <w:p>
      <w:r>
        <w:t>51. Pechtl IC, Kavanagh D, McIntosh N, Harris CL, Barlow PN. Disease-associated N-terminal complement factor H mutations perturb cofactor and decay-accelerating activities. J Biol Chem. 2011;286(13):11082–11090. doi:10.1074/jbc.M110.211839</w:t>
      </w:r>
    </w:p>
    <w:p>
      <w:r>
        <w:t>52. Tischer A, Moon-Tasson L, Auton M. Structure-resolved dynamics of type 2M von Willebrand disease. J Thromb Haemost. 2025;23(4):1215–1228. doi:10.1016/j.jtha.2024.12.026</w:t>
      </w:r>
    </w:p>
    <w:p>
      <w:r>
        <w:t>53. Eaton WA, Hofrichter J. Sickle cell hemoglobin polymerization. Adv Protein Chem. 1990;40:63–279. doi:10.1016/S0065-3233(08)60287-9</w:t>
      </w:r>
    </w:p>
    <w:p>
      <w:r>
        <w:t>54. Kiger L, Klinger AL, Kwiatkowski LD, De Young A, Doyle ML, Holt JM, et al. Thermodynamic studies on the equilibrium properties of a series of recombinant βW37 hemoglobin mutants. Biochemistry. 1998;37(13):4336–4345. doi:10.1021/bi970868a</w:t>
      </w:r>
    </w:p>
    <w:p>
      <w:r>
        <w:t>55. Kwiatkowski LD, Hui HL, Wierzba A, Noble RW, Walder RY, Peterson ES, et al. Preparation and kinetic characterization of a series of βW37 variants of human hemoglobin A: evidence for high-affinity T quaternary structures. Biochemistry. 1998;37(13):4325–4335. doi:10.1021/bi970866q</w:t>
      </w:r>
    </w:p>
    <w:p>
      <w:r>
        <w:t>56. Bonaventura J, Riggs A. Hemoglobin Kansas, a human hemoglobin with a neutral amino acid substitution and an abnormal oxygen equilibrium. J Biol Chem. 1968;243(5):980–991. doi:10.1016/S0021-9258(18)93612-4</w:t>
      </w:r>
    </w:p>
    <w:p>
      <w:r>
        <w:t>57. Karczewski KJ, Francioli LC, Tiao G, Cummings BB, Alföldi J, Wang Q, et al. The mutational constraint spectrum quantified from variation in 141,456 humans. Nature. 2020;581(7809):434–443. doi:10.1038/s41586-020-2308-7</w:t>
      </w:r>
    </w:p>
    <w:p>
      <w:r>
        <w:t>58. Landrum MJ, Lee JM, Benson M, Brown GR, Chao C, Chitipiralla S, et al. ClinVar: improving access to variant interpretations and supporting evidence. Nucleic Acids Res. 2018;46(D1):D1062–D1067. doi:10.1093/nar/gkx1153</w:t>
      </w:r>
    </w:p>
    <w:p>
      <w:r>
        <w:t>59. Williams RS, Green R, Glover JN. Crystal structure of the BRCT repeat region from the breast cancer-associated protein BRCA1. Nat Struct Biol. 2001;8(10):838–842. doi:10.1038/nsb1001-838</w:t>
      </w:r>
    </w:p>
    <w:p>
      <w:r>
        <w:t>60. Brzovic PS, Rajagopal P, Hoyt DW, King MC, Klevit RE. Structure of a BRCA1-BARD1 heterodimeric RING-RING complex. Nat Struct Biol. 2001;8(10):833–837. doi:10.1038/nsb1001-833</w:t>
      </w:r>
    </w:p>
    <w:p>
      <w:r>
        <w:t>61. Wu J, Wu YQ, Ricklin D, Janssen BJC, Lambris JD, Gros P. Structure of complement fragment C3b-factor H and implications for host protection by complement regulators. Nat Immunol. 2009;10(7):728–733. doi:10.1038/ni.1755</w:t>
      </w:r>
    </w:p>
    <w:p>
      <w:r>
        <w:t>62. Fermi G, Perutz MF, Shaanan B, Fourme R. The crystal structure of human deoxyhaemoglobin at 1.74 Å resolution. J Mol Biol. 1984;175(2):159–174. doi:10.1016/0022-2836(84)90472-8</w:t>
      </w:r>
    </w:p>
    <w:p>
      <w:r>
        <w:t>63. Tran TH, Chan AH, Young LC, Bindu L, Neale C, Messing S, et al. KRAS interaction with RAF1 RAS-binding domain and cysteine-rich domain provides insights into RAS-mediated RAF activation. Nat Commun. 2021;12(1):1176. doi:10.1038/s41467-021-21422-x</w:t>
      </w:r>
    </w:p>
    <w:p>
      <w:r>
        <w:t>64.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65. Jankauskaitė J, Jiménez-García B, Dapkūnas J, Fernández-Recio J, Moal IH. SKEMPI 2.0: an updated benchmark of changes in protein–protein binding energy, kinetics and thermodynamics upon mutation. Bioinformatics. 2019;35(3):462–469. doi:10.1093/bioinformatics/bty635</w:t>
      </w:r>
    </w:p>
    <w:p>
      <w:r>
        <w:t>66. Abildgaard AB, Stein A, Nielsen SV, Schultz-Knudsen K, Papaleo E, Shrikhande A, et al. Computational and cellular studies reveal structural destabilization and degradation of MLH1 variants in Lynch syndrome. eLife. 2019;8:e49138. doi:10.7554/eLife.49138</w:t>
      </w:r>
    </w:p>
    <w:p>
      <w:r>
        <w:t>67. Nielsen SV, Stein A, Dinitzen AB, Papaleo E, Tatham MH, Poulsen EG, et al. Predicting the impact of Lynch syndrome-causing missense mutations from structural calculations. PLoS Genet. 2017;13(4):e1006739. doi:10.1371/journal.pgen.1006739</w:t>
      </w:r>
    </w:p>
    <w:p>
      <w:r>
        <w:t>68. Franklin by Genoox [Internet]. Genoox; c2026 [cited &lt;ACCESS DATE&gt;]. Available from: https://franklin.genoox.com</w:t>
      </w:r>
    </w:p>
    <w:p>
      <w:r>
        <w:t>69. Sapozhnikov Y, Patel JS, Ytreberg FM, Miller CR. Statistical modeling to quantify the uncertainty of FoldX-predicted protein folding and binding stability. BMC Bioinformatics. 2023;24:426. doi:10.1186/s12859-023-05537-0</w:t>
      </w:r>
    </w:p>
    <w:p>
      <w:r>
        <w:t>70. Vassall KA, Stathopulos PB, Rumfeldt JAO, Lepock JR, Meiering EM. Equilibrium thermodynamic analysis of amyotrophic lateral sclerosis-associated mutant apo Cu,Zn superoxide dismutases. Biochemistry. 2006;45(23):7366–7379. doi:10.1021/bi0600953</w:t>
      </w:r>
    </w:p>
    <w:p>
      <w:r>
        <w:t>71.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72. Schymkowitz J, Borg J, Stricher F, Nys R, Rousseau F, Serrano L. The FoldX web server: an online force field. Nucleic Acids Res. 2005;33(Web Server issue):W382–W388. doi:10.1093/nar/gki387</w:t>
      </w:r>
    </w:p>
    <w:p>
      <w:r>
        <w:t>73. Delgado J, Radusky LG, Cianferoni D, Serrano L. FoldX 5.0: working with RNA, small molecules and a new graphical interface. Bioinformatics. 2019;35(20):4168–4169. doi:10.1093/bioinformatics/btz184</w:t>
      </w:r>
    </w:p>
    <w:p>
      <w:r>
        <w:t>74. Tunyasuvunakool K, Adler J, Wu Z, Green T, Zielinski M, Žídek A, et al. Highly accurate protein structure prediction for the human proteome. Nature. 2021;596(7873):590–596. doi:10.1038/s41586-021-03828-1</w:t>
      </w:r>
    </w:p>
    <w:p>
      <w:r>
        <w:t>75.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98 committed axis expectations, and the five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0.719. (B) Score over 2,000 resamples of the 14 systems; dashed lines mark the 95% interval (0.625–0.821).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43), disagree with both values within 1.0 kcal/mol of the threshold (borderline, n = 7) or disagree by more (substantive, n = 13). Gray bars mark medians; open circles, barnase Glu73.</w:t>
      </w:r>
    </w:p>
    <w:p>
      <w:r>
        <w:rPr>
          <w:b/>
        </w:rPr>
        <w:t>S4 Fig. Structural-context comparators on the 47-variant prioritization population.</w:t>
      </w:r>
      <w:r>
        <w:t xml:space="preserve"> </w:t>
      </w:r>
      <w:r>
        <w:t>Sensitivity on the 17 structural-mechanism variants and specificity on the 30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47-variant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