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1F35E847" ns2:textId="77777777" w:rsidR="005150BE" w:rsidRDefault="00000000">
      <w:pPr>
        <w:pStyle w:val="Title"/>
        <w:jc w:val="center"/>
      </w:pPr>
      <w:r>
        <w:t>COMAVI: complex-aware structural mechanism profiles for prioritizing missense variants</w:t>
      </w:r>
    </w:p>
    <w:p ns2:paraId="721C9C92" ns2:textId="77777777" w:rsidR="005150BE" w:rsidRDefault="00000000">
      <w:pPr>
        <w:pStyle w:val="Heading1"/>
      </w:pPr>
      <w:r>
        <w:t>Abstract</w:t>
      </w:r>
    </w:p>
    <w:p ns2:paraId="4EAF7065" ns2:textId="287C5A0B" w:rsidR="005150BE" w:rsidRDefault="00000000">
      <w:r>
        <w:rPr>
          <w:rFonts w:ascii="Arial" w:eastAsia="Arial" w:hAnsi="Arial"/>
        </w:rPr>
        <w:t xml:space="preserve">Pathogenicity scores rank which missense variants may </w:t>
      </w:r>
      <w:r w:rsidR="00E82045">
        <w:rPr>
          <w:rFonts w:ascii="Arial" w:eastAsia="Arial" w:hAnsi="Arial"/>
        </w:rPr>
        <w:t>be detrimental</w:t>
      </w:r>
      <w:r>
        <w:rPr>
          <w:rFonts w:ascii="Arial" w:eastAsia="Arial" w:hAnsi="Arial"/>
        </w:rPr>
        <w:t xml:space="preserve"> but generally do not identify the structural process affected or the experiment most likely to test it. COMAVI (COMplex-Aware Variant Impact scoring) scores each variant in the isolated protein and, where an assembly model exists, in the complex, reporting predicted changes in subunit stability, in stability on assembled coordinates, and in interaction energy per partner, alongside a structural-context tier. From that evidence it produces a priority score ranking modeled structural-disruption evidence, and a mechanism profile naming which process is disrupted, and therefore which experiment would test it.</w:t>
      </w:r>
    </w:p>
    <w:p ns2:paraId="3B77A723" ns2:textId="77777777" w:rsidR="005150BE" w:rsidRDefault="00000000">
      <w:r>
        <w:rPr>
          <w:rFonts w:ascii="Arial" w:eastAsia="Arial" w:hAnsi="Arial"/>
        </w:rPr>
        <w:t>We assembled a literature-curated benchmark of 61 variants across 14 protein systems in which every expected effect carries a written evidence basis and citation. Mechanism-pattern recovery, graded in 57 variants, was 41.0 of 57 (0.719) at the 2.5 kcal/mol reference threshold, against 0.561 for the strongest trivial strategy. In the 47 variants that also carry a structural-context tier, the priority score placed 16 of 17 variants with a modeled structural mechanism in the top 20, and all 17 in the top 25.</w:t>
      </w:r>
    </w:p>
    <w:p ns2:paraId="7853B863" ns2:textId="16FAAF25" w:rsidR="005150BE" w:rsidRDefault="00000000">
      <w:r>
        <w:rPr>
          <w:rFonts w:ascii="Arial" w:eastAsia="Arial" w:hAnsi="Arial"/>
        </w:rPr>
        <w:t>Because a mechanism call converts continuous energy into a yes-or-no decision, every graded result depends on one threshold. Across the prespecified range of 1.0 to 2.5 kcal/mol, fixed before any variant was scored, detecting that some axis was disrupted stayed nearly flat, while attributing it to the axis the literature implicates fell steadily and correct rejection of curated negatives rose. The three axes did not share an optimum, so one global threshold favors stability over interaction.</w:t>
      </w:r>
      <w:r w:rsidR="008763E4">
        <w:rPr>
          <w:rFonts w:ascii="Arial" w:eastAsia="Arial" w:hAnsi="Arial"/>
        </w:rPr>
      </w:r>
      <w:r>
        <w:rPr>
          <w:rFonts w:ascii="Arial" w:eastAsia="Arial" w:hAnsi="Arial"/>
        </w:rPr>
      </w:r>
      <w:commentRangeStart w:id="0"/>
      <w:r>
        <w:rPr>
          <w:rFonts w:ascii="Arial" w:eastAsia="Arial" w:hAnsi="Arial"/>
        </w:rPr>
      </w:r>
      <w:commentRangeEnd w:id="0"/>
      <w:r w:rsidR="008763E4">
        <w:rPr>
          <w:rStyle w:val="CommentReference"/>
          <w:rFonts w:ascii="Arial" w:eastAsia="Arial" w:hAnsi="Arial"/>
          <w:sz w:val="21"/>
          <w:szCs w:val="22"/>
        </w:rPr>
      </w:r>
      <w:r>
        <w:rPr>
          <w:rFonts w:ascii="Arial" w:eastAsia="Arial" w:hAnsi="Arial"/>
        </w:rPr>
      </w:r>
    </w:p>
    <w:p ns2:paraId="3ED5A387" ns2:textId="77777777" w:rsidR="005150BE" w:rsidRDefault="00000000">
      <w:r>
        <w:rPr>
          <w:rFonts w:ascii="Arial" w:eastAsia="Arial" w:hAnsi="Arial"/>
        </w:rPr>
        <w:t>COMAVI is best used in two stages: the priority score to allocate experimental effort, then the mechanism profile to choose a stability, assembly, or binding experiment. A silent result means only that no lesion was detected in the supplied model at the stated threshold, not that pathogenicity is excluded.</w:t>
      </w:r>
    </w:p>
    <w:p ns2:paraId="24EF4BBC" ns2:textId="77777777" w:rsidR="00F148F1" w:rsidRDefault="00000000">
      <w:pPr>
        <w:pStyle w:val="Heading1"/>
      </w:pPr>
      <w:r>
        <w:lastRenderedPageBreak/>
        <w:t>Author Summary</w:t>
      </w:r>
    </w:p>
    <w:p ns2:paraId="0B392F09" ns2:textId="767E5B44" w:rsidR="00F148F1" w:rsidRDefault="00000000">
      <w:r>
        <w:t>Genetic testing routinely finds far more single-amino-acid changes in a person's proteins than any laboratory can study. Existing computer tools estimate which of those changes are likely to cause disease, but rarely say how a change does its damage</w:t>
      </w:r>
      <w:r w:rsidR="00B235B2">
        <w:t xml:space="preserve"> which can help determine what experiment to run next. </w:t>
      </w:r>
    </w:p>
    <w:p ns2:paraId="2BCE278A" ns2:textId="77777777" w:rsidR="00F148F1" w:rsidRDefault="00000000">
      <w:r>
        <w:t>Most proteins work while bound to partners. A change can therefore make the protein itself unstable, or leave it correctly folded but weaken how it holds onto a partner. Those two problems are tested in completely different ways in the laboratory. We built a method that evaluates the same change twice, once in the protein alone and once in the assembled group, so the two can be told apart.</w:t>
      </w:r>
    </w:p>
    <w:p ns2:paraId="1ECFA69C" ns2:textId="68803470" w:rsidR="00F148F1" w:rsidRDefault="00000000">
      <w:r>
        <w:t xml:space="preserve">We tested it on 61 changes across 14 protein systems for which published experiments already establish what goes wrong. Our method named the right kind of damage in roughly seven cases out of ten, and placed nearly every genuinely disruptive change near the top of a short candidate list. </w:t>
      </w:r>
    </w:p>
    <w:p ns2:paraId="1F378178" ns2:textId="77777777" w:rsidR="005150BE" w:rsidRDefault="00000000">
      <w:pPr>
        <w:pStyle w:val="Heading1"/>
        <w:spacing w:after="50"/>
      </w:pPr>
      <w:r>
        <w:t>1. Introduction</w:t>
      </w:r>
    </w:p>
    <w:p ns2:paraId="2F6EA76B" ns2:textId="77777777" w:rsidR="00FE2FC0" w:rsidRPr="00FE2FC0" w:rsidRDefault="00FE2FC0" w:rsidP="00FE2FC0">
      <w:pPr>
        <w:pStyle w:val="NormalWeb"/>
        <w:rPr>
          <w:rFonts w:ascii="Arial" w:hAnsi="Arial" w:cs="Arial"/>
          <w:sz w:val="21"/>
          <w:szCs w:val="21"/>
        </w:rPr>
      </w:pPr>
      <w:r w:rsidRPr="00FE2FC0">
        <w:rPr>
          <w:rFonts w:ascii="Arial" w:hAnsi="Arial" w:cs="Arial"/>
          <w:sz w:val="21"/>
          <w:szCs w:val="21"/>
        </w:rPr>
        <w:t xml:space="preserve">Improvements in sequencing technology and the falling cost of full genome sequencing have led to a growing abundance of sequencing data. Researchers have developed several strategies to filter this data for biologically meaningful insights including several variant effect predictors such as AlphaMissense and GPN-Star that use sequence- and evolution-based models to parse variants by predicted pathogenicity or functional constraint [1,2]. These variant effect prediction tools are incredibly useful; however, most do not give specific insight into the structural impact of evaluated variants. Similar scores can describe variants that destabilize a folded domain, weaken an interface, perturb an assembled subunit, or alter catalysis, and these possibilities prompt differing downstream experimental evaluation. </w:t>
      </w:r>
    </w:p>
    <w:p ns2:paraId="43199102" ns2:textId="77777777" w:rsidR="005150BE" w:rsidRDefault="00FE2FC0" w:rsidP="00FE2FC0">
      <w:pPr>
        <w:pStyle w:val="NormalWeb"/>
        <w:rPr>
          <w:rFonts w:ascii="Arial" w:hAnsi="Arial" w:cs="Arial"/>
          <w:sz w:val="21"/>
          <w:szCs w:val="21"/>
        </w:rPr>
      </w:pPr>
      <w:r w:rsidRPr="00FE2FC0">
        <w:rPr>
          <w:rFonts w:ascii="Arial" w:hAnsi="Arial" w:cs="Arial"/>
          <w:sz w:val="21"/>
          <w:szCs w:val="21"/>
        </w:rPr>
        <w:t xml:space="preserve">Additionally, many proteins function in complexes, and the structural context of a residue changes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w:t>
      </w:r>
      <w:r w:rsidRPr="00FE2FC0">
        <w:rPr>
          <w:rFonts w:ascii="Arial" w:hAnsi="Arial" w:cs="Arial"/>
          <w:sz w:val="21"/>
          <w:szCs w:val="21"/>
        </w:rPr>
        <w:lastRenderedPageBreak/>
        <w:t xml:space="preserve">that measure folding and binding separately reveal distinct energetic and allosteric effects [3]. A method intended to evaluate the specific structural impact of a variant and guide experimental follow-up should preserve this monomer-versus-multimer distinction rather than collapse it into one impact score. Previously, evaluation of these multimer structural impacts was not feasible at scale due to technical limitations, but recently, structural modeling tools such as AlphaFold 3 and the Boltz series have substantially improved the accuracy of predicted complex structures [4-6]. </w:t>
      </w:r>
    </w:p>
    <w:p ns2:paraId="46DCCB19" ns2:textId="77777777" w:rsidR="003F0518" w:rsidRDefault="00C40938" w:rsidP="003650EB">
      <w:pPr>
        <w:rPr>
          <w:rFonts w:ascii="Arial" w:hAnsi="Arial" w:cs="Arial"/>
        </w:rPr>
      </w:pPr>
      <w:r>
        <w:rPr>
          <w:rFonts w:ascii="Arial" w:hAnsi="Arial" w:cs="Arial"/>
        </w:rPr>
        <w:t>To address th</w:t>
      </w:r>
      <w:r w:rsidR="003650EB">
        <w:rPr>
          <w:rFonts w:ascii="Arial" w:hAnsi="Arial" w:cs="Arial"/>
        </w:rPr>
        <w:t>e now closeable</w:t>
      </w:r>
      <w:r>
        <w:rPr>
          <w:rFonts w:ascii="Arial" w:hAnsi="Arial" w:cs="Arial"/>
        </w:rPr>
        <w:t xml:space="preserve"> gap</w:t>
      </w:r>
      <w:r w:rsidR="003650EB">
        <w:rPr>
          <w:rFonts w:ascii="Arial" w:hAnsi="Arial" w:cs="Arial"/>
        </w:rPr>
        <w:t xml:space="preserve"> in multimer-aware structural impact prediction</w:t>
      </w:r>
      <w:r>
        <w:rPr>
          <w:rFonts w:ascii="Arial" w:hAnsi="Arial" w:cs="Arial"/>
        </w:rPr>
        <w:t>, w</w:t>
      </w:r>
      <w:r w:rsidR="003F0518" w:rsidRPr="003F0518">
        <w:rPr>
          <w:rFonts w:ascii="Arial" w:hAnsi="Arial" w:cs="Arial"/>
        </w:rPr>
        <w:t>e developed COMAVI</w:t>
      </w:r>
      <w:r>
        <w:rPr>
          <w:rFonts w:ascii="Arial" w:hAnsi="Arial" w:cs="Arial"/>
        </w:rPr>
        <w:t xml:space="preserve">. This pipeline </w:t>
      </w:r>
      <w:r w:rsidR="003F0518" w:rsidRPr="003F0518">
        <w:rPr>
          <w:rFonts w:ascii="Arial" w:hAnsi="Arial" w:cs="Arial"/>
        </w:rPr>
        <w:t>compare</w:t>
      </w:r>
      <w:r>
        <w:rPr>
          <w:rFonts w:ascii="Arial" w:hAnsi="Arial" w:cs="Arial"/>
        </w:rPr>
        <w:t>s</w:t>
      </w:r>
      <w:r w:rsidR="003F0518" w:rsidRPr="003F0518">
        <w:rPr>
          <w:rFonts w:ascii="Arial" w:hAnsi="Arial" w:cs="Arial"/>
        </w:rPr>
        <w:t xml:space="preserve"> </w:t>
      </w:r>
      <w:r w:rsidR="003F0518">
        <w:rPr>
          <w:rFonts w:ascii="Arial" w:hAnsi="Arial" w:cs="Arial"/>
        </w:rPr>
        <w:t>variants</w:t>
      </w:r>
      <w:r w:rsidR="003F0518" w:rsidRPr="003F0518">
        <w:rPr>
          <w:rFonts w:ascii="Arial" w:hAnsi="Arial" w:cs="Arial"/>
        </w:rPr>
        <w:t xml:space="preserve"> across isolated and assembled structural contexts and translate</w:t>
      </w:r>
      <w:r>
        <w:rPr>
          <w:rFonts w:ascii="Arial" w:hAnsi="Arial" w:cs="Arial"/>
        </w:rPr>
        <w:t>s</w:t>
      </w:r>
      <w:r w:rsidR="003F0518" w:rsidRPr="003F0518">
        <w:rPr>
          <w:rFonts w:ascii="Arial" w:hAnsi="Arial" w:cs="Arial"/>
        </w:rPr>
        <w:t xml:space="preserve"> the resulting evidence into</w:t>
      </w:r>
      <w:r>
        <w:rPr>
          <w:rFonts w:ascii="Arial" w:hAnsi="Arial" w:cs="Arial"/>
        </w:rPr>
        <w:t xml:space="preserve"> predicted structural impact assessments and variant prioritization scores</w:t>
      </w:r>
      <w:r w:rsidR="003F0518" w:rsidRPr="003F0518">
        <w:rPr>
          <w:rFonts w:ascii="Arial" w:hAnsi="Arial" w:cs="Arial"/>
        </w:rPr>
        <w:t xml:space="preserve">. We then </w:t>
      </w:r>
      <w:r w:rsidR="000975CB">
        <w:rPr>
          <w:rFonts w:ascii="Arial" w:hAnsi="Arial" w:cs="Arial"/>
        </w:rPr>
        <w:t>curated a variant structural impact benchmark to evaluate</w:t>
      </w:r>
      <w:r w:rsidR="003F0518" w:rsidRPr="003F0518">
        <w:rPr>
          <w:rFonts w:ascii="Arial" w:hAnsi="Arial" w:cs="Arial"/>
        </w:rPr>
        <w:t xml:space="preserve"> whether the mechanism profiles recovered literature-supported structural effects and whether a fixed priority score could concentrate variants with modeled structural lesions near the top of a candidate list. </w:t>
      </w:r>
      <w:r w:rsidR="003F0518">
        <w:rPr>
          <w:rFonts w:ascii="Arial" w:hAnsi="Arial" w:cs="Arial"/>
        </w:rPr>
        <w:t xml:space="preserve">The intention of the pipeline is to provide variant structural impact predictions with suggestions for subsequent assay-directed assessment. </w:t>
      </w:r>
    </w:p>
    <w:p ns2:paraId="1F6861F7" ns2:textId="77777777" w:rsidR="003650EB" w:rsidRPr="003650EB" w:rsidRDefault="003650EB" w:rsidP="003650EB">
      <w:pPr>
        <w:rPr>
          <w:rFonts w:ascii="Arial" w:hAnsi="Arial" w:cs="Arial"/>
        </w:rPr>
      </w:pPr>
    </w:p>
    <w:p ns2:paraId="0282F915" ns2:textId="4A386869" w:rsidR="005150BE" w:rsidRDefault="00FE2FC0">
      <w:commentRangeStart w:id="1"/>
      <w:r>
        <w:rPr>
          <w:rFonts w:ascii="Arial" w:eastAsia="Arial" w:hAnsi="Arial"/>
        </w:rPr>
        <w:t>Some structural annotation tools now place variants in experimental and predicted structures [7-13], and two resources evaluate both the monomeric and the assembled context: ELASPIC, which assigns each substitution to a core or an interface and predicts the corresponding quantity [14], and MAVISp, which computes folding and local-interaction free energies in separate modules across more than a thousand proteins [15]. They also differ from COMAVI in how they are validated, which Section 4.1 takes up. In both cases a substitution is assigned to one structural context; neither computes the isolated subunit and the assembled complex for the same substitution and contrasts them. That contrast carries mechanism. A substitution that destabilizes the isolated subunit points toward a subunit less likely to reach its folded state, and therefore toward reduced abundance rather than a defective complex, whereas one that leaves the subunit intact and weakens a specific interaction points toward a protein that is present but fails to engage its partner. These imply different cellular consequences and different experiments - a stability or turnover assay in the first case, an affinity measurement against the named partner in the second - and a single energy value cannot tell them apart, because a residue buried in an interface can destabilize the fold without weakening the interaction. COMAVI computes both contexts for every variant, keeps the fold and binding predictions separate, and returns a per-variant mechanism call and priority score from coordinates and a variant list the user supplies. Related stability and interface methods provide complementary benchmarks and predictors [16-23]. Section 4.1 sets out in full what COMAVI shares with the closest existing framework and what it adds.</w:t>
      </w:r>
      <w:r w:rsidR="009D45CC">
        <w:rPr>
          <w:rFonts w:ascii="Arial" w:eastAsia="Arial" w:hAnsi="Arial"/>
        </w:rPr>
      </w:r>
      <w:r>
        <w:rPr>
          <w:rFonts w:ascii="Arial" w:eastAsia="Arial" w:hAnsi="Arial"/>
        </w:rPr>
      </w:r>
      <w:r>
        <w:rPr>
          <w:rFonts w:ascii="Arial" w:eastAsia="Arial" w:hAnsi="Arial"/>
        </w:rPr>
      </w:r>
      <w:commentRangeEnd w:id="1"/>
      <w:r w:rsidR="009D45CC">
        <w:rPr>
          <w:rStyle w:val="CommentReference"/>
          <w:sz w:val="21"/>
          <w:szCs w:val="22"/>
        </w:rPr>
      </w:r>
    </w:p>
    <w:p ns2:paraId="759A3E84" ns2:textId="77777777" w:rsidR="005150BE" w:rsidRDefault="00000000">
      <w:pPr>
        <w:pStyle w:val="Heading1"/>
        <w:spacing w:after="50"/>
      </w:pPr>
      <w:r>
        <w:t>2. Materials and Methods</w:t>
      </w:r>
    </w:p>
    <w:p ns2:paraId="395D4E62" ns2:textId="77777777" w:rsidR="005150BE" w:rsidRDefault="00000000">
      <w:pPr>
        <w:pStyle w:val="Heading2"/>
      </w:pPr>
      <w:r>
        <w:t>2.1 What COMAVI computes</w:t>
      </w:r>
    </w:p>
    <w:p ns2:paraId="28EB081F" ns2:textId="38AA37F3" w:rsidR="005150BE" w:rsidRDefault="00000000">
      <w:r>
        <w:rPr>
          <w:rFonts w:ascii="Arial" w:eastAsia="Arial" w:hAnsi="Arial"/>
        </w:rPr>
        <w:t xml:space="preserve">COMAVI takes a missense variant plus isolated and assembled structural models and calculates three FoldX 5.1 energy changes: stability of the isolated subunit, stability calculated in the assembled complex, and interaction energy for each protein partner. From these energies and an energy-free Tier 1-4 summary of local structural context, COMAVI returns two linked outputs (Fig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It is worth separating what the pipeline produces from what this evaluation adds. The pipeline's outputs are the three per-axis energies, the structural-context tier and the priority score, and none of them requires a decision threshold. A threshold enters only to convert those continuous energies into the discrete mechanism calls that can be graded against categorical literature labels, which is what this benchmark does; it is therefore an instrument of the evaluation rather than a parameter of the method, and a user running COMAVI on their own variants obtains the energies, the tier and the score without choosing one. Section 3.5 reports how much the graded results depend on that choice. </w:t>
      </w:r>
    </w:p>
    <w:p ns2:paraId="5BA35950" ns2:textId="77777777" w:rsidR="005150BE" w:rsidRDefault="00000000">
      <w:pPr>
        <w:keepNext/>
        <w:spacing w:before="80" w:after="20"/>
        <w:jc w:val="center"/>
      </w:pPr>
      <w:commentRangeStart w:id="2"/>
      <w:commentRangeStart w:id="3"/>
      <w:r>
        <w:rPr>
          <w:noProof/>
        </w:rPr>
        <w:lastRenderedPageBreak/>
        <w:drawing>
          <wp:inline distT="0" distB="0" distL="0" distR="0" ns4:anchorId="71CF3161" ns4:editId="7E30AA98">
            <wp:extent cx="5943600" cy="2229552"/>
            <wp:effectExtent l="0" t="0" r="0" b="8255"/>
            <wp:docPr id="22" name="Picture 22"/>
            <wp:cNvGraphicFramePr>
              <a:graphicFrameLocks noChangeAspect="1"/>
            </wp:cNvGraphicFramePr>
            <a:graphic>
              <a:graphicData uri="http://schemas.openxmlformats.org/drawingml/2006/picture">
                <ns6:pic>
                  <ns6:nvPicPr>
                    <ns6:cNvPr id="22" name="Picture 22"/>
                    <ns6:cNvPicPr/>
                  </ns6:nvPicPr>
                  <ns6:blipFill>
                    <a:blip r:embed="rId12"/>
                    <a:stretch>
                      <a:fillRect/>
                    </a:stretch>
                  </ns6:blipFill>
                  <ns6:spPr>
                    <a:xfrm>
                      <a:off x="0" y="0"/>
                      <a:ext cx="5943600" cy="2229552"/>
                    </a:xfrm>
                    <a:prstGeom prst="rect">
                      <a:avLst/>
                    </a:prstGeom>
                  </ns6:spPr>
                </ns6:pic>
              </a:graphicData>
            </a:graphic>
          </wp:inline>
        </w:drawing>
      </w:r>
      <w:commentRangeEnd w:id="2"/>
      <w:r w:rsidR="00075399">
        <w:rPr>
          <w:rStyle w:val="CommentReference"/>
          <w:sz w:val="21"/>
          <w:szCs w:val="22"/>
        </w:rPr>
        <w:commentReference w:id="2"/>
      </w:r>
      <w:commentRangeEnd w:id="3"/>
      <w:r w:rsidR="008731AC">
        <w:rPr>
          <w:rStyle w:val="CommentReference"/>
          <w:sz w:val="21"/>
          <w:szCs w:val="22"/>
        </w:rPr>
        <w:commentReference w:id="3"/>
      </w:r>
    </w:p>
    <w:p ns2:paraId="24A639EA" ns2:textId="77777777" w:rsidR="005150BE" w:rsidRDefault="00000000">
      <w:pPr>
        <w:pStyle w:val="Caption"/>
        <w:keepNext/>
        <w:spacing w:before="60"/>
      </w:pPr>
      <w:r>
        <w:rPr>
          <w:rFonts w:ascii="Arial" w:eastAsia="Arial" w:hAnsi="Arial"/>
        </w:rPr>
        <w:t xml:space="preserve">Fig 1. COMAVI prioritizes and localizes variant structural disruption. A missense variant and one or more structural models yield four lines of structural evidence: predicted change in isolated-subunit stability, in stability calculated on assembled coordinates, in partner-specific binding energy, and a structural-context tier summarizing substitution chemistry, contacts, interface status, burial and model confidence. All four contribute to both products. The three energies supply the energy component of the priority score and the signed values of the mechanism profile; the structural-context tier supplies the score's context component and, in the mechanism profile, selects between contact-driven and burial-driven descriptions of the same energetic call. The priority score ranks variants for structural follow-up. The mechanism profile localizes the disruption to an axis and indicates whether a stability, assembly or interaction experiment is the appropriate test. Pathogenicity evidence is not an input to either product and is compared against them only descriptively; the priority score is not a probability, and no binary cutoff on it is validated. </w:t>
      </w:r>
    </w:p>
    <w:p ns2:paraId="18089669" ns2:textId="77777777" w:rsidR="005150BE" w:rsidRDefault="00000000">
      <w:pPr>
        <w:pStyle w:val="Heading2"/>
      </w:pPr>
      <w:r>
        <w:t>2.2 Benchmark populations and literature-defined expectations</w:t>
      </w:r>
    </w:p>
    <w:p ns2:paraId="1C7EE9CD" ns2:textId="3BCF2CC8" w:rsidR="005150BE" w:rsidRDefault="00000000">
      <w:r>
        <w:rPr>
          <w:rFonts w:ascii="Arial" w:eastAsia="Arial" w:hAnsi="Arial"/>
        </w:rPr>
        <w:t>The 61-variant literature-curated resource spans 14 protein systems: 13 multi-chain complexes contributing 49 interaction variants, and one single-chain system, the BRCA1 tandem BRCT domain, contributing 12 variants with measured isolated-subunit stability [24]. Systems were selected on two criteria. First, the mechanism had to be documented well enough to commit an expected direction on at least one modeled axis before scoring. Second, the set had to span the mechanisms the method claims to separate, so it includes loss-of-function and gain-of-function variants, fold-driven and binding-driven disruption, and variants whose published biology is ambiguous. Every committed expectation carries a one-line written evidence basis and a primary citation, recorded per variant and per axis in S1 Table (benchmark_variants sheet). Three nested populations are used and are reported explicitly throughout, because each is the correct denominator for a different claim. All 61 variants receive COMAVI outputs. Of these, 57 carry a committed mechanism expectation and are graded; the four excluded are listed in S1 Table with the reason, which in every case is that the supplied structure cannot represent the relevant mechanism. Of those, 47 also carry a structural-context tier and form the prioritization subset. The positive class therefore differs between the two populations, and both counts appear in the Results: of the 57 graded variants, 25 carry a committed structural mechanism and 32 are curated to lack one, whereas of the 47 in the prioritization subset, 17 carry one and 30 do not. The 17 are a strict subset of the 25; the other eight are the monomer-only BRCA1 tandem-BRCT fold mechanisms, which have no partner chain and therefore no structural-context tier, so they cannot enter a prioritization analysis that ranks on one. Whole-variant mechanism-pattern recovery was evaluated in 57 variants: 47 interaction variants and 10 BRCA1 tandem-BRCT variants whose expected effect is on the stability of the isolated domain, either through burial of the substituted residue in the hydrophobic core or through direct disruption of the fold.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(benchmark_variants sheet) lists every variant with its clinical annotation, its expected mechanism, and the published result that defined that expectation. That table cites the defining publication per variant; the primary literature underlying the curated expectations across the 14 systems is [25-43].</w:t>
      </w:r>
      <w:r w:rsidR="008731AC">
        <w:rPr>
          <w:rFonts w:ascii="Arial" w:eastAsia="Arial" w:hAnsi="Arial"/>
        </w:rPr>
      </w:r>
      <w:r>
        <w:rPr>
          <w:rFonts w:ascii="Arial" w:eastAsia="Arial" w:hAnsi="Arial"/>
        </w:rPr>
      </w:r>
      <w:r w:rsidR="008731AC">
        <w:rPr>
          <w:rFonts w:ascii="Arial" w:eastAsia="Arial" w:hAnsi="Arial"/>
        </w:rPr>
      </w:r>
      <w:r>
        <w:rPr>
          <w:rFonts w:ascii="Arial" w:eastAsia="Arial" w:hAnsi="Arial"/>
        </w:rPr>
      </w:r>
      <w:r>
        <w:rPr>
          <w:rFonts w:ascii="Arial" w:eastAsia="Arial" w:hAnsi="Arial"/>
        </w:rPr>
      </w:r>
    </w:p>
    <w:p ns2:paraId="4BDC2507" ns2:textId="77777777" w:rsidR="005150BE" w:rsidRDefault="00000000">
      <w:r>
        <w:rPr>
          <w:rFonts w:ascii="Arial" w:eastAsia="Arial" w:hAnsi="Arial"/>
        </w:rPr>
        <w:t>Structural prioritization was evaluated in the overlapping set of 47 interaction variants that had both a structural-context tier and a committed endpoint: 17 with a modeled structural mechanism and 30 curated to lack a lesion on the modeled COMAVI axes. Pathogenicity comparisons are reported on a fourth population, the clinically labeled complete-case subset, and they ask a different question: not whether COMAVI identified the right structural process, but whether a structural score orders variants the way a clinical label does. That is a separate claim with a separate ground truth, and Section 3.7 keeps it separate. The population, positive definition, and denominator are stated for each analysis and figure.</w:t>
      </w:r>
    </w:p>
    <w:p ns2:paraId="5785694A" ns2:textId="77777777" w:rsidR="005150BE" w:rsidRDefault="001A2D1D">
      <w:pPr>
        <w:pStyle w:val="Caption"/>
        <w:rPr>
          <w:rStyle w:val="CommentReference"/>
          <w:rFonts w:ascii="Arial" w:hAnsi="Arial" w:cs="Arial"/>
          <w:sz w:val="21"/>
          <w:szCs w:val="22"/>
        </w:rPr>
      </w:pPr>
      <w:r w:rsidRPr="000B1FC7">
        <w:rPr>
          <w:rStyle w:val="CommentReference"/>
          <w:rFonts w:ascii="Arial" w:hAnsi="Arial" w:cs="Arial"/>
          <w:sz w:val="21"/>
          <w:szCs w:val="22"/>
        </w:rPr>
        <w:t>Table 1. Benchmark composition.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8"/>
        <w:gridCol w:w="1428"/>
        <w:gridCol w:w="1428"/>
        <w:gridCol w:w="1428"/>
        <w:gridCol w:w="1428"/>
        <w:gridCol w:w="1428"/>
        <w:gridCol w:w="1428"/>
      </w:tblGrid>
      <w:tr>
        <w:tc>
          <w:tcPr>
            <w:tcW w:type="dxa" w:w="1428"/>
          </w:tcPr>
          <w:p>
            <w:pPr>
              <w:spacing w:line="240" w:lineRule="auto"/>
            </w:pPr>
            <w:r/>
            <w:r>
              <w:rPr>
                <w:b/>
                <w:sz w:val="17"/>
              </w:rPr>
              <w:t>System</w:t>
            </w:r>
          </w:p>
        </w:tc>
        <w:tc>
          <w:tcPr>
            <w:tcW w:type="dxa" w:w="1428"/>
          </w:tcPr>
          <w:p>
            <w:pPr>
              <w:spacing w:line="240" w:lineRule="auto"/>
            </w:pPr>
            <w:r/>
            <w:r>
              <w:rPr>
                <w:b/>
                <w:sz w:val="17"/>
              </w:rPr>
              <w:t>Variant gene</w:t>
            </w:r>
          </w:p>
        </w:tc>
        <w:tc>
          <w:tcPr>
            <w:tcW w:type="dxa" w:w="1428"/>
          </w:tcPr>
          <w:p>
            <w:pPr>
              <w:spacing w:line="240" w:lineRule="auto"/>
            </w:pPr>
            <w:r/>
            <w:r>
              <w:rPr>
                <w:b/>
                <w:sz w:val="17"/>
              </w:rPr>
              <w:t>Variants</w:t>
            </w:r>
          </w:p>
        </w:tc>
        <w:tc>
          <w:tcPr>
            <w:tcW w:type="dxa" w:w="1428"/>
          </w:tcPr>
          <w:p>
            <w:pPr>
              <w:spacing w:line="240" w:lineRule="auto"/>
            </w:pPr>
            <w:r/>
            <w:r>
              <w:rPr>
                <w:b/>
                <w:sz w:val="17"/>
              </w:rPr>
              <w:t>Mechanism-gradeable</w:t>
            </w:r>
          </w:p>
        </w:tc>
        <w:tc>
          <w:tcPr>
            <w:tcW w:type="dxa" w:w="1428"/>
          </w:tcPr>
          <w:p>
            <w:pPr>
              <w:spacing w:line="240" w:lineRule="auto"/>
            </w:pPr>
            <w:r/>
            <w:r>
              <w:rPr>
                <w:b/>
                <w:sz w:val="17"/>
              </w:rPr>
              <w:t>Pathogenic</w:t>
            </w:r>
          </w:p>
        </w:tc>
        <w:tc>
          <w:tcPr>
            <w:tcW w:type="dxa" w:w="1428"/>
          </w:tcPr>
          <w:p>
            <w:pPr>
              <w:spacing w:line="240" w:lineRule="auto"/>
            </w:pPr>
            <w:r/>
            <w:r>
              <w:rPr>
                <w:b/>
                <w:sz w:val="17"/>
              </w:rPr>
              <w:t>Structure</w:t>
            </w:r>
          </w:p>
        </w:tc>
        <w:tc>
          <w:tcPr>
            <w:tcW w:type="dxa" w:w="1428"/>
          </w:tcPr>
          <w:p>
            <w:pPr>
              <w:spacing w:line="240" w:lineRule="auto"/>
            </w:pPr>
            <w:r/>
            <w:r>
              <w:rPr>
                <w:b/>
                <w:sz w:val="17"/>
              </w:rPr>
              <w:t>Model Source</w:t>
            </w:r>
          </w:p>
        </w:tc>
      </w:tr>
      <w:tr>
        <w:tc>
          <w:tcPr>
            <w:tcW w:type="dxa" w:w="1428"/>
          </w:tcPr>
          <w:p>
            <w:pPr>
              <w:spacing w:line="240" w:lineRule="auto"/>
            </w:pPr>
            <w:r/>
            <w:r>
              <w:rPr>
                <w:sz w:val="17"/>
              </w:rPr>
              <w:t>BRCA1 BRCT tandem domain (fold only)</w:t>
            </w:r>
          </w:p>
        </w:tc>
        <w:tc>
          <w:tcPr>
            <w:tcW w:type="dxa" w:w="1428"/>
          </w:tcPr>
          <w:p>
            <w:pPr>
              <w:spacing w:line="240" w:lineRule="auto"/>
            </w:pPr>
            <w:r/>
            <w:r>
              <w:rPr>
                <w:sz w:val="17"/>
              </w:rPr>
              <w:t>BRCA1</w:t>
            </w:r>
          </w:p>
        </w:tc>
        <w:tc>
          <w:tcPr>
            <w:tcW w:type="dxa" w:w="1428"/>
          </w:tcPr>
          <w:p>
            <w:pPr>
              <w:spacing w:line="240" w:lineRule="auto"/>
            </w:pPr>
            <w:r/>
            <w:r>
              <w:rPr>
                <w:sz w:val="17"/>
              </w:rPr>
              <w:t>12</w:t>
            </w:r>
          </w:p>
        </w:tc>
        <w:tc>
          <w:tcPr>
            <w:tcW w:type="dxa" w:w="1428"/>
          </w:tcPr>
          <w:p>
            <w:pPr>
              <w:spacing w:line="240" w:lineRule="auto"/>
            </w:pPr>
            <w:r/>
            <w:r>
              <w:rPr>
                <w:sz w:val="17"/>
              </w:rPr>
              <w:t>10</w:t>
            </w:r>
          </w:p>
        </w:tc>
        <w:tc>
          <w:tcPr>
            <w:tcW w:type="dxa" w:w="1428"/>
          </w:tcPr>
          <w:p>
            <w:pPr>
              <w:spacing w:line="240" w:lineRule="auto"/>
            </w:pPr>
            <w:r/>
            <w:r>
              <w:rPr>
                <w:sz w:val="17"/>
              </w:rPr>
              <w:t>0</w:t>
            </w:r>
          </w:p>
        </w:tc>
        <w:tc>
          <w:tcPr>
            <w:tcW w:type="dxa" w:w="1428"/>
          </w:tcPr>
          <w:p>
            <w:pPr>
              <w:spacing w:line="240" w:lineRule="auto"/>
            </w:pPr>
            <w:r/>
            <w:r>
              <w:rPr>
                <w:sz w:val="17"/>
              </w:rPr>
              <w:t>1JNX.pdb</w:t>
            </w:r>
          </w:p>
        </w:tc>
        <w:tc>
          <w:tcPr>
            <w:tcW w:type="dxa" w:w="1428"/>
          </w:tcPr>
          <w:p>
            <w:pPr>
              <w:spacing w:line="240" w:lineRule="auto"/>
            </w:pPr>
            <w:r/>
            <w:r>
              <w:rPr>
                <w:sz w:val="17"/>
              </w:rPr>
              <w:t>Experimental</w:t>
            </w:r>
          </w:p>
        </w:tc>
      </w:tr>
      <w:tr>
        <w:tc>
          <w:tcPr>
            <w:tcW w:type="dxa" w:w="1428"/>
          </w:tcPr>
          <w:p>
            <w:pPr>
              <w:spacing w:line="240" w:lineRule="auto"/>
            </w:pPr>
            <w:r/>
            <w:r>
              <w:rPr>
                <w:sz w:val="17"/>
              </w:rPr>
              <w:t>BRCA1-BARD1 RING heterodimer</w:t>
            </w:r>
          </w:p>
        </w:tc>
        <w:tc>
          <w:tcPr>
            <w:tcW w:type="dxa" w:w="1428"/>
          </w:tcPr>
          <w:p>
            <w:pPr>
              <w:spacing w:line="240" w:lineRule="auto"/>
            </w:pPr>
            <w:r/>
            <w:r>
              <w:rPr>
                <w:sz w:val="17"/>
              </w:rPr>
              <w:t>BRCA1</w:t>
            </w:r>
          </w:p>
        </w:tc>
        <w:tc>
          <w:tcPr>
            <w:tcW w:type="dxa" w:w="1428"/>
          </w:tcPr>
          <w:p>
            <w:pPr>
              <w:spacing w:line="240" w:lineRule="auto"/>
            </w:pPr>
            <w:r/>
            <w:r>
              <w:rPr>
                <w:sz w:val="17"/>
              </w:rPr>
              <w:t>4</w:t>
            </w:r>
          </w:p>
        </w:tc>
        <w:tc>
          <w:tcPr>
            <w:tcW w:type="dxa" w:w="1428"/>
          </w:tcPr>
          <w:p>
            <w:pPr>
              <w:spacing w:line="240" w:lineRule="auto"/>
            </w:pPr>
            <w:r/>
            <w:r>
              <w:rPr>
                <w:sz w:val="17"/>
              </w:rPr>
              <w:t>4</w:t>
            </w:r>
          </w:p>
        </w:tc>
        <w:tc>
          <w:tcPr>
            <w:tcW w:type="dxa" w:w="1428"/>
          </w:tcPr>
          <w:p>
            <w:pPr>
              <w:spacing w:line="240" w:lineRule="auto"/>
            </w:pPr>
            <w:r/>
            <w:r>
              <w:rPr>
                <w:sz w:val="17"/>
              </w:rPr>
              <w:t>2</w:t>
            </w:r>
          </w:p>
        </w:tc>
        <w:tc>
          <w:tcPr>
            <w:tcW w:type="dxa" w:w="1428"/>
          </w:tcPr>
          <w:p>
            <w:pPr>
              <w:spacing w:line="240" w:lineRule="auto"/>
            </w:pPr>
            <w:r/>
            <w:r>
              <w:rPr>
                <w:sz w:val="17"/>
              </w:rPr>
              <w:t>1JM7.pdb</w:t>
            </w:r>
          </w:p>
        </w:tc>
        <w:tc>
          <w:tcPr>
            <w:tcW w:type="dxa" w:w="1428"/>
          </w:tcPr>
          <w:p>
            <w:pPr>
              <w:spacing w:line="240" w:lineRule="auto"/>
            </w:pPr>
            <w:r/>
            <w:r>
              <w:rPr>
                <w:sz w:val="17"/>
              </w:rPr>
              <w:t>Experimental</w:t>
            </w:r>
          </w:p>
        </w:tc>
      </w:tr>
      <w:tr>
        <w:tc>
          <w:tcPr>
            <w:tcW w:type="dxa" w:w="1428"/>
          </w:tcPr>
          <w:p>
            <w:pPr>
              <w:spacing w:line="240" w:lineRule="auto"/>
            </w:pPr>
            <w:r/>
            <w:r>
              <w:rPr>
                <w:sz w:val="17"/>
              </w:rPr>
              <w:t>Calmodulin-Ca(v)1.2 IQ domain</w:t>
            </w:r>
          </w:p>
        </w:tc>
        <w:tc>
          <w:tcPr>
            <w:tcW w:type="dxa" w:w="1428"/>
          </w:tcPr>
          <w:p>
            <w:pPr>
              <w:spacing w:line="240" w:lineRule="auto"/>
            </w:pPr>
            <w:r/>
            <w:r>
              <w:rPr>
                <w:sz w:val="17"/>
              </w:rPr>
              <w:t>CALM1</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fold_calm1_cacna1c_model_0.pdb</w:t>
            </w:r>
          </w:p>
        </w:tc>
        <w:tc>
          <w:tcPr>
            <w:tcW w:type="dxa" w:w="1428"/>
          </w:tcPr>
          <w:p>
            <w:pPr>
              <w:spacing w:line="240" w:lineRule="auto"/>
            </w:pPr>
            <w:r/>
            <w:r>
              <w:rPr>
                <w:sz w:val="17"/>
              </w:rPr>
              <w:t>AlphaFold</w:t>
            </w:r>
          </w:p>
        </w:tc>
      </w:tr>
      <w:tr>
        <w:tc>
          <w:tcPr>
            <w:tcW w:type="dxa" w:w="1428"/>
          </w:tcPr>
          <w:p>
            <w:pPr>
              <w:spacing w:line="240" w:lineRule="auto"/>
            </w:pPr>
            <w:r/>
            <w:r>
              <w:rPr>
                <w:sz w:val="17"/>
              </w:rPr>
              <w:t>Complement factor H-C3b</w:t>
            </w:r>
          </w:p>
        </w:tc>
        <w:tc>
          <w:tcPr>
            <w:tcW w:type="dxa" w:w="1428"/>
          </w:tcPr>
          <w:p>
            <w:pPr>
              <w:spacing w:line="240" w:lineRule="auto"/>
            </w:pPr>
            <w:r/>
            <w:r>
              <w:rPr>
                <w:sz w:val="17"/>
              </w:rPr>
              <w:t>CFH</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2</w:t>
            </w:r>
          </w:p>
        </w:tc>
        <w:tc>
          <w:tcPr>
            <w:tcW w:type="dxa" w:w="1428"/>
          </w:tcPr>
          <w:p>
            <w:pPr>
              <w:spacing w:line="240" w:lineRule="auto"/>
            </w:pPr>
            <w:r/>
            <w:r>
              <w:rPr>
                <w:sz w:val="17"/>
              </w:rPr>
              <w:t>2WII_trim.pdb</w:t>
            </w:r>
          </w:p>
        </w:tc>
        <w:tc>
          <w:tcPr>
            <w:tcW w:type="dxa" w:w="1428"/>
          </w:tcPr>
          <w:p>
            <w:pPr>
              <w:spacing w:line="240" w:lineRule="auto"/>
            </w:pPr>
            <w:r/>
            <w:r>
              <w:rPr>
                <w:sz w:val="17"/>
              </w:rPr>
              <w:t>Experimental</w:t>
            </w:r>
          </w:p>
        </w:tc>
      </w:tr>
      <w:tr>
        <w:tc>
          <w:tcPr>
            <w:tcW w:type="dxa" w:w="1428"/>
          </w:tcPr>
          <w:p>
            <w:pPr>
              <w:spacing w:line="240" w:lineRule="auto"/>
            </w:pPr>
            <w:r/>
            <w:r>
              <w:rPr>
                <w:sz w:val="17"/>
              </w:rPr>
              <w:t>Hemoglobin alpha-beta dimer</w:t>
            </w:r>
          </w:p>
        </w:tc>
        <w:tc>
          <w:tcPr>
            <w:tcW w:type="dxa" w:w="1428"/>
          </w:tcPr>
          <w:p>
            <w:pPr>
              <w:spacing w:line="240" w:lineRule="auto"/>
            </w:pPr>
            <w:r/>
            <w:r>
              <w:rPr>
                <w:sz w:val="17"/>
              </w:rPr>
              <w:t>HBB</w:t>
            </w:r>
          </w:p>
        </w:tc>
        <w:tc>
          <w:tcPr>
            <w:tcW w:type="dxa" w:w="1428"/>
          </w:tcPr>
          <w:p>
            <w:pPr>
              <w:spacing w:line="240" w:lineRule="auto"/>
            </w:pPr>
            <w:r/>
            <w:r>
              <w:rPr>
                <w:sz w:val="17"/>
              </w:rPr>
              <w:t>1</w:t>
            </w:r>
          </w:p>
        </w:tc>
        <w:tc>
          <w:tcPr>
            <w:tcW w:type="dxa" w:w="1428"/>
          </w:tcPr>
          <w:p>
            <w:pPr>
              <w:spacing w:line="240" w:lineRule="auto"/>
            </w:pPr>
            <w:r/>
            <w:r>
              <w:rPr>
                <w:sz w:val="17"/>
              </w:rPr>
              <w:t>1</w:t>
            </w:r>
          </w:p>
        </w:tc>
        <w:tc>
          <w:tcPr>
            <w:tcW w:type="dxa" w:w="1428"/>
          </w:tcPr>
          <w:p>
            <w:pPr>
              <w:spacing w:line="240" w:lineRule="auto"/>
            </w:pPr>
            <w:r/>
            <w:r>
              <w:rPr>
                <w:sz w:val="17"/>
              </w:rPr>
              <w:t>1</w:t>
            </w:r>
          </w:p>
        </w:tc>
        <w:tc>
          <w:tcPr>
            <w:tcW w:type="dxa" w:w="1428"/>
          </w:tcPr>
          <w:p>
            <w:pPr>
              <w:spacing w:line="240" w:lineRule="auto"/>
            </w:pPr>
            <w:r/>
            <w:r>
              <w:rPr>
                <w:sz w:val="17"/>
              </w:rPr>
              <w:t>2HHB.pdb</w:t>
            </w:r>
          </w:p>
        </w:tc>
        <w:tc>
          <w:tcPr>
            <w:tcW w:type="dxa" w:w="1428"/>
          </w:tcPr>
          <w:p>
            <w:pPr>
              <w:spacing w:line="240" w:lineRule="auto"/>
            </w:pPr>
            <w:r/>
            <w:r>
              <w:rPr>
                <w:sz w:val="17"/>
              </w:rPr>
              <w:t>Experimental</w:t>
            </w:r>
          </w:p>
        </w:tc>
      </w:tr>
      <w:tr>
        <w:tc>
          <w:tcPr>
            <w:tcW w:type="dxa" w:w="1428"/>
          </w:tcPr>
          <w:p>
            <w:pPr>
              <w:spacing w:line="240" w:lineRule="auto"/>
            </w:pPr>
            <w:r/>
            <w:r>
              <w:rPr>
                <w:sz w:val="17"/>
              </w:rPr>
              <w:t>Hemoglobin tetramer</w:t>
            </w:r>
          </w:p>
        </w:tc>
        <w:tc>
          <w:tcPr>
            <w:tcW w:type="dxa" w:w="1428"/>
          </w:tcPr>
          <w:p>
            <w:pPr>
              <w:spacing w:line="240" w:lineRule="auto"/>
            </w:pPr>
            <w:r/>
            <w:r>
              <w:rPr>
                <w:sz w:val="17"/>
              </w:rPr>
              <w:t>HBB</w:t>
            </w:r>
          </w:p>
        </w:tc>
        <w:tc>
          <w:tcPr>
            <w:tcW w:type="dxa" w:w="1428"/>
          </w:tcPr>
          <w:p>
            <w:pPr>
              <w:spacing w:line="240" w:lineRule="auto"/>
            </w:pPr>
            <w:r/>
            <w:r>
              <w:rPr>
                <w:sz w:val="17"/>
              </w:rPr>
              <w:t>5</w:t>
            </w:r>
          </w:p>
        </w:tc>
        <w:tc>
          <w:tcPr>
            <w:tcW w:type="dxa" w:w="1428"/>
          </w:tcPr>
          <w:p>
            <w:pPr>
              <w:spacing w:line="240" w:lineRule="auto"/>
            </w:pPr>
            <w:r/>
            <w:r>
              <w:rPr>
                <w:sz w:val="17"/>
              </w:rPr>
              <w:t>5</w:t>
            </w:r>
          </w:p>
        </w:tc>
        <w:tc>
          <w:tcPr>
            <w:tcW w:type="dxa" w:w="1428"/>
          </w:tcPr>
          <w:p>
            <w:pPr>
              <w:spacing w:line="240" w:lineRule="auto"/>
            </w:pPr>
            <w:r/>
            <w:r>
              <w:rPr>
                <w:sz w:val="17"/>
              </w:rPr>
              <w:t>5</w:t>
            </w:r>
          </w:p>
        </w:tc>
        <w:tc>
          <w:tcPr>
            <w:tcW w:type="dxa" w:w="1428"/>
          </w:tcPr>
          <w:p>
            <w:pPr>
              <w:spacing w:line="240" w:lineRule="auto"/>
            </w:pPr>
            <w:r/>
            <w:r>
              <w:rPr>
                <w:sz w:val="17"/>
              </w:rPr>
              <w:t>2HHB.pdb</w:t>
            </w:r>
          </w:p>
        </w:tc>
        <w:tc>
          <w:tcPr>
            <w:tcW w:type="dxa" w:w="1428"/>
          </w:tcPr>
          <w:p>
            <w:pPr>
              <w:spacing w:line="240" w:lineRule="auto"/>
            </w:pPr>
            <w:r/>
            <w:r>
              <w:rPr>
                <w:sz w:val="17"/>
              </w:rPr>
              <w:t>Experimental</w:t>
            </w:r>
          </w:p>
        </w:tc>
      </w:tr>
      <w:tr>
        <w:tc>
          <w:tcPr>
            <w:tcW w:type="dxa" w:w="1428"/>
          </w:tcPr>
          <w:p>
            <w:pPr>
              <w:spacing w:line="240" w:lineRule="auto"/>
            </w:pPr>
            <w:r/>
            <w:r>
              <w:rPr>
                <w:sz w:val="17"/>
              </w:rPr>
              <w:t>KRAS-CRAF RBD</w:t>
            </w:r>
          </w:p>
        </w:tc>
        <w:tc>
          <w:tcPr>
            <w:tcW w:type="dxa" w:w="1428"/>
          </w:tcPr>
          <w:p>
            <w:pPr>
              <w:spacing w:line="240" w:lineRule="auto"/>
            </w:pPr>
            <w:r/>
            <w:r>
              <w:rPr>
                <w:sz w:val="17"/>
              </w:rPr>
              <w:t>KRAS</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6XI7.pdb</w:t>
            </w:r>
          </w:p>
        </w:tc>
        <w:tc>
          <w:tcPr>
            <w:tcW w:type="dxa" w:w="1428"/>
          </w:tcPr>
          <w:p>
            <w:pPr>
              <w:spacing w:line="240" w:lineRule="auto"/>
            </w:pPr>
            <w:r/>
            <w:r>
              <w:rPr>
                <w:sz w:val="17"/>
              </w:rPr>
              <w:t>Experimental</w:t>
            </w:r>
          </w:p>
        </w:tc>
      </w:tr>
      <w:tr>
        <w:tc>
          <w:tcPr>
            <w:tcW w:type="dxa" w:w="1428"/>
          </w:tcPr>
          <w:p>
            <w:pPr>
              <w:spacing w:line="240" w:lineRule="auto"/>
            </w:pPr>
            <w:r/>
            <w:r>
              <w:rPr>
                <w:sz w:val="17"/>
              </w:rPr>
              <w:t>MLH1-PMS2 C-terminal heterodimer</w:t>
            </w:r>
          </w:p>
        </w:tc>
        <w:tc>
          <w:tcPr>
            <w:tcW w:type="dxa" w:w="1428"/>
          </w:tcPr>
          <w:p>
            <w:pPr>
              <w:spacing w:line="240" w:lineRule="auto"/>
            </w:pPr>
            <w:r/>
            <w:r>
              <w:rPr>
                <w:sz w:val="17"/>
              </w:rPr>
              <w:t>MLH1/PMS2</w:t>
            </w:r>
          </w:p>
        </w:tc>
        <w:tc>
          <w:tcPr>
            <w:tcW w:type="dxa" w:w="1428"/>
          </w:tcPr>
          <w:p>
            <w:pPr>
              <w:spacing w:line="240" w:lineRule="auto"/>
            </w:pPr>
            <w:r/>
            <w:r>
              <w:rPr>
                <w:sz w:val="17"/>
              </w:rPr>
              <w:t>7</w:t>
            </w:r>
          </w:p>
        </w:tc>
        <w:tc>
          <w:tcPr>
            <w:tcW w:type="dxa" w:w="1428"/>
          </w:tcPr>
          <w:p>
            <w:pPr>
              <w:spacing w:line="240" w:lineRule="auto"/>
            </w:pPr>
            <w:r/>
            <w:r>
              <w:rPr>
                <w:sz w:val="17"/>
              </w:rPr>
              <w:t>7</w:t>
            </w:r>
          </w:p>
        </w:tc>
        <w:tc>
          <w:tcPr>
            <w:tcW w:type="dxa" w:w="1428"/>
          </w:tcPr>
          <w:p>
            <w:pPr>
              <w:spacing w:line="240" w:lineRule="auto"/>
            </w:pPr>
            <w:r/>
            <w:r>
              <w:rPr>
                <w:sz w:val="17"/>
              </w:rPr>
              <w:t>3</w:t>
            </w:r>
          </w:p>
        </w:tc>
        <w:tc>
          <w:tcPr>
            <w:tcW w:type="dxa" w:w="1428"/>
          </w:tcPr>
          <w:p>
            <w:pPr>
              <w:spacing w:line="240" w:lineRule="auto"/>
            </w:pPr>
            <w:r/>
            <w:r>
              <w:rPr>
                <w:sz w:val="17"/>
              </w:rPr>
              <w:t>fold_mlh1_pms2.model_0.pdb</w:t>
            </w:r>
          </w:p>
        </w:tc>
        <w:tc>
          <w:tcPr>
            <w:tcW w:type="dxa" w:w="1428"/>
          </w:tcPr>
          <w:p>
            <w:pPr>
              <w:spacing w:line="240" w:lineRule="auto"/>
            </w:pPr>
            <w:r/>
            <w:r>
              <w:rPr>
                <w:sz w:val="17"/>
              </w:rPr>
              <w:t>AlphaFold</w:t>
            </w:r>
          </w:p>
        </w:tc>
      </w:tr>
      <w:tr>
        <w:tc>
          <w:tcPr>
            <w:tcW w:type="dxa" w:w="1428"/>
          </w:tcPr>
          <w:p>
            <w:pPr>
              <w:spacing w:line="240" w:lineRule="auto"/>
            </w:pPr>
            <w:r/>
            <w:r>
              <w:rPr>
                <w:sz w:val="17"/>
              </w:rPr>
              <w:t>MSH2-MSH6 heterodimer</w:t>
            </w:r>
          </w:p>
        </w:tc>
        <w:tc>
          <w:tcPr>
            <w:tcW w:type="dxa" w:w="1428"/>
          </w:tcPr>
          <w:p>
            <w:pPr>
              <w:spacing w:line="240" w:lineRule="auto"/>
            </w:pPr>
            <w:r/>
            <w:r>
              <w:rPr>
                <w:sz w:val="17"/>
              </w:rPr>
              <w:t>MSH2</w:t>
            </w:r>
          </w:p>
        </w:tc>
        <w:tc>
          <w:tcPr>
            <w:tcW w:type="dxa" w:w="1428"/>
          </w:tcPr>
          <w:p>
            <w:pPr>
              <w:spacing w:line="240" w:lineRule="auto"/>
            </w:pPr>
            <w:r/>
            <w:r>
              <w:rPr>
                <w:sz w:val="17"/>
              </w:rPr>
              <w:t>5</w:t>
            </w:r>
          </w:p>
        </w:tc>
        <w:tc>
          <w:tcPr>
            <w:tcW w:type="dxa" w:w="1428"/>
          </w:tcPr>
          <w:p>
            <w:pPr>
              <w:spacing w:line="240" w:lineRule="auto"/>
            </w:pPr>
            <w:r/>
            <w:r>
              <w:rPr>
                <w:sz w:val="17"/>
              </w:rPr>
              <w:t>5</w:t>
            </w:r>
          </w:p>
        </w:tc>
        <w:tc>
          <w:tcPr>
            <w:tcW w:type="dxa" w:w="1428"/>
          </w:tcPr>
          <w:p>
            <w:pPr>
              <w:spacing w:line="240" w:lineRule="auto"/>
            </w:pPr>
            <w:r/>
            <w:r>
              <w:rPr>
                <w:sz w:val="17"/>
              </w:rPr>
              <w:t>3</w:t>
            </w:r>
          </w:p>
        </w:tc>
        <w:tc>
          <w:tcPr>
            <w:tcW w:type="dxa" w:w="1428"/>
          </w:tcPr>
          <w:p>
            <w:pPr>
              <w:spacing w:line="240" w:lineRule="auto"/>
            </w:pPr>
            <w:r/>
            <w:r>
              <w:rPr>
                <w:sz w:val="17"/>
              </w:rPr>
              <w:t>fold_msh2_msh6_model_0.pdb</w:t>
            </w:r>
          </w:p>
        </w:tc>
        <w:tc>
          <w:tcPr>
            <w:tcW w:type="dxa" w:w="1428"/>
          </w:tcPr>
          <w:p>
            <w:pPr>
              <w:spacing w:line="240" w:lineRule="auto"/>
            </w:pPr>
            <w:r/>
            <w:r>
              <w:rPr>
                <w:sz w:val="17"/>
              </w:rPr>
              <w:t>AlphaFold</w:t>
            </w:r>
          </w:p>
        </w:tc>
      </w:tr>
      <w:tr>
        <w:tc>
          <w:tcPr>
            <w:tcW w:type="dxa" w:w="1428"/>
          </w:tcPr>
          <w:p>
            <w:pPr>
              <w:spacing w:line="240" w:lineRule="auto"/>
            </w:pPr>
            <w:r/>
            <w:r>
              <w:rPr>
                <w:sz w:val="17"/>
              </w:rPr>
              <w:t>PI3K p110alpha-p85alpha</w:t>
            </w:r>
          </w:p>
        </w:tc>
        <w:tc>
          <w:tcPr>
            <w:tcW w:type="dxa" w:w="1428"/>
          </w:tcPr>
          <w:p>
            <w:pPr>
              <w:spacing w:line="240" w:lineRule="auto"/>
            </w:pPr>
            <w:r/>
            <w:r>
              <w:rPr>
                <w:sz w:val="17"/>
              </w:rPr>
              <w:t>PIK3CA/PIK3R1</w:t>
            </w:r>
          </w:p>
        </w:tc>
        <w:tc>
          <w:tcPr>
            <w:tcW w:type="dxa" w:w="1428"/>
          </w:tcPr>
          <w:p>
            <w:pPr>
              <w:spacing w:line="240" w:lineRule="auto"/>
            </w:pPr>
            <w:r/>
            <w:r>
              <w:rPr>
                <w:sz w:val="17"/>
              </w:rPr>
              <w:t>5</w:t>
            </w:r>
          </w:p>
        </w:tc>
        <w:tc>
          <w:tcPr>
            <w:tcW w:type="dxa" w:w="1428"/>
          </w:tcPr>
          <w:p>
            <w:pPr>
              <w:spacing w:line="240" w:lineRule="auto"/>
            </w:pPr>
            <w:r/>
            <w:r>
              <w:rPr>
                <w:sz w:val="17"/>
              </w:rPr>
              <w:t>5</w:t>
            </w:r>
          </w:p>
        </w:tc>
        <w:tc>
          <w:tcPr>
            <w:tcW w:type="dxa" w:w="1428"/>
          </w:tcPr>
          <w:p>
            <w:pPr>
              <w:spacing w:line="240" w:lineRule="auto"/>
            </w:pPr>
            <w:r/>
            <w:r>
              <w:rPr>
                <w:sz w:val="17"/>
              </w:rPr>
              <w:t>4</w:t>
            </w:r>
          </w:p>
        </w:tc>
        <w:tc>
          <w:tcPr>
            <w:tcW w:type="dxa" w:w="1428"/>
          </w:tcPr>
          <w:p>
            <w:pPr>
              <w:spacing w:line="240" w:lineRule="auto"/>
            </w:pPr>
            <w:r/>
            <w:r>
              <w:rPr>
                <w:sz w:val="17"/>
              </w:rPr>
              <w:t>fold_pik3ca_pik3r1_model_0.pdb</w:t>
            </w:r>
          </w:p>
        </w:tc>
        <w:tc>
          <w:tcPr>
            <w:tcW w:type="dxa" w:w="1428"/>
          </w:tcPr>
          <w:p>
            <w:pPr>
              <w:spacing w:line="240" w:lineRule="auto"/>
            </w:pPr>
            <w:r/>
            <w:r>
              <w:rPr>
                <w:sz w:val="17"/>
              </w:rPr>
              <w:t>AlphaFold</w:t>
            </w:r>
          </w:p>
        </w:tc>
      </w:tr>
      <w:tr>
        <w:tc>
          <w:tcPr>
            <w:tcW w:type="dxa" w:w="1428"/>
          </w:tcPr>
          <w:p>
            <w:pPr>
              <w:spacing w:line="240" w:lineRule="auto"/>
            </w:pPr>
            <w:r/>
            <w:r>
              <w:rPr>
                <w:sz w:val="17"/>
              </w:rPr>
              <w:t>SMAD4-SMAD3 MH2 complex</w:t>
            </w:r>
          </w:p>
        </w:tc>
        <w:tc>
          <w:tcPr>
            <w:tcW w:type="dxa" w:w="1428"/>
          </w:tcPr>
          <w:p>
            <w:pPr>
              <w:spacing w:line="240" w:lineRule="auto"/>
            </w:pPr>
            <w:r/>
            <w:r>
              <w:rPr>
                <w:sz w:val="17"/>
              </w:rPr>
              <w:t>SMAD4</w:t>
            </w:r>
          </w:p>
        </w:tc>
        <w:tc>
          <w:tcPr>
            <w:tcW w:type="dxa" w:w="1428"/>
          </w:tcPr>
          <w:p>
            <w:pPr>
              <w:spacing w:line="240" w:lineRule="auto"/>
            </w:pPr>
            <w:r/>
            <w:r>
              <w:rPr>
                <w:sz w:val="17"/>
              </w:rPr>
              <w:t>4</w:t>
            </w:r>
          </w:p>
        </w:tc>
        <w:tc>
          <w:tcPr>
            <w:tcW w:type="dxa" w:w="1428"/>
          </w:tcPr>
          <w:p>
            <w:pPr>
              <w:spacing w:line="240" w:lineRule="auto"/>
            </w:pPr>
            <w:r/>
            <w:r>
              <w:rPr>
                <w:sz w:val="17"/>
              </w:rPr>
              <w:t>4</w:t>
            </w:r>
          </w:p>
        </w:tc>
        <w:tc>
          <w:tcPr>
            <w:tcW w:type="dxa" w:w="1428"/>
          </w:tcPr>
          <w:p>
            <w:pPr>
              <w:spacing w:line="240" w:lineRule="auto"/>
            </w:pPr>
            <w:r/>
            <w:r>
              <w:rPr>
                <w:sz w:val="17"/>
              </w:rPr>
              <w:t>4</w:t>
            </w:r>
          </w:p>
        </w:tc>
        <w:tc>
          <w:tcPr>
            <w:tcW w:type="dxa" w:w="1428"/>
          </w:tcPr>
          <w:p>
            <w:pPr>
              <w:spacing w:line="240" w:lineRule="auto"/>
            </w:pPr>
            <w:r/>
            <w:r>
              <w:rPr>
                <w:sz w:val="17"/>
              </w:rPr>
              <w:t>fold_smad4_smad3_model_0.pdb</w:t>
            </w:r>
          </w:p>
        </w:tc>
        <w:tc>
          <w:tcPr>
            <w:tcW w:type="dxa" w:w="1428"/>
          </w:tcPr>
          <w:p>
            <w:pPr>
              <w:spacing w:line="240" w:lineRule="auto"/>
            </w:pPr>
            <w:r/>
            <w:r>
              <w:rPr>
                <w:sz w:val="17"/>
              </w:rPr>
              <w:t>AlphaFold</w:t>
            </w:r>
          </w:p>
        </w:tc>
      </w:tr>
      <w:tr>
        <w:tc>
          <w:tcPr>
            <w:tcW w:type="dxa" w:w="1428"/>
          </w:tcPr>
          <w:p>
            <w:pPr>
              <w:spacing w:line="240" w:lineRule="auto"/>
            </w:pPr>
            <w:r/>
            <w:r>
              <w:rPr>
                <w:sz w:val="17"/>
              </w:rPr>
              <w:t>Troponin I-troponin C</w:t>
            </w:r>
          </w:p>
        </w:tc>
        <w:tc>
          <w:tcPr>
            <w:tcW w:type="dxa" w:w="1428"/>
          </w:tcPr>
          <w:p>
            <w:pPr>
              <w:spacing w:line="240" w:lineRule="auto"/>
            </w:pPr>
            <w:r/>
            <w:r>
              <w:rPr>
                <w:sz w:val="17"/>
              </w:rPr>
              <w:t>TNNI3</w:t>
            </w:r>
          </w:p>
        </w:tc>
        <w:tc>
          <w:tcPr>
            <w:tcW w:type="dxa" w:w="1428"/>
          </w:tcPr>
          <w:p>
            <w:pPr>
              <w:spacing w:line="240" w:lineRule="auto"/>
            </w:pPr>
            <w:r/>
            <w:r>
              <w:rPr>
                <w:sz w:val="17"/>
              </w:rPr>
              <w:t>4</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fold_tnni3_tnnc1_model_0.pdb</w:t>
            </w:r>
          </w:p>
        </w:tc>
        <w:tc>
          <w:tcPr>
            <w:tcW w:type="dxa" w:w="1428"/>
          </w:tcPr>
          <w:p>
            <w:pPr>
              <w:spacing w:line="240" w:lineRule="auto"/>
            </w:pPr>
            <w:r/>
            <w:r>
              <w:rPr>
                <w:sz w:val="17"/>
              </w:rPr>
              <w:t>AlphaFold</w:t>
            </w:r>
          </w:p>
        </w:tc>
      </w:tr>
      <w:tr>
        <w:tc>
          <w:tcPr>
            <w:tcW w:type="dxa" w:w="1428"/>
          </w:tcPr>
          <w:p>
            <w:pPr>
              <w:spacing w:line="240" w:lineRule="auto"/>
            </w:pPr>
            <w:r/>
            <w:r>
              <w:rPr>
                <w:sz w:val="17"/>
              </w:rPr>
              <w:t>VHL-elongin C</w:t>
            </w:r>
          </w:p>
        </w:tc>
        <w:tc>
          <w:tcPr>
            <w:tcW w:type="dxa" w:w="1428"/>
          </w:tcPr>
          <w:p>
            <w:pPr>
              <w:spacing w:line="240" w:lineRule="auto"/>
            </w:pPr>
            <w:r/>
            <w:r>
              <w:rPr>
                <w:sz w:val="17"/>
              </w:rPr>
              <w:t>VHL</w:t>
            </w:r>
          </w:p>
        </w:tc>
        <w:tc>
          <w:tcPr>
            <w:tcW w:type="dxa" w:w="1428"/>
          </w:tcPr>
          <w:p>
            <w:pPr>
              <w:spacing w:line="240" w:lineRule="auto"/>
            </w:pPr>
            <w:r/>
            <w:r>
              <w:rPr>
                <w:sz w:val="17"/>
              </w:rPr>
              <w:t>3</w:t>
            </w:r>
          </w:p>
        </w:tc>
        <w:tc>
          <w:tcPr>
            <w:tcW w:type="dxa" w:w="1428"/>
          </w:tcPr>
          <w:p>
            <w:pPr>
              <w:spacing w:line="240" w:lineRule="auto"/>
            </w:pPr>
            <w:r/>
            <w:r>
              <w:rPr>
                <w:sz w:val="17"/>
              </w:rPr>
              <w:t>2</w:t>
            </w:r>
          </w:p>
        </w:tc>
        <w:tc>
          <w:tcPr>
            <w:tcW w:type="dxa" w:w="1428"/>
          </w:tcPr>
          <w:p>
            <w:pPr>
              <w:spacing w:line="240" w:lineRule="auto"/>
            </w:pPr>
            <w:r/>
            <w:r>
              <w:rPr>
                <w:sz w:val="17"/>
              </w:rPr>
              <w:t>3</w:t>
            </w:r>
          </w:p>
        </w:tc>
        <w:tc>
          <w:tcPr>
            <w:tcW w:type="dxa" w:w="1428"/>
          </w:tcPr>
          <w:p>
            <w:pPr>
              <w:spacing w:line="240" w:lineRule="auto"/>
            </w:pPr>
            <w:r/>
            <w:r>
              <w:rPr>
                <w:sz w:val="17"/>
              </w:rPr>
              <w:t>fold_vhl_tceb1_model_0.pdb</w:t>
            </w:r>
          </w:p>
        </w:tc>
        <w:tc>
          <w:tcPr>
            <w:tcW w:type="dxa" w:w="1428"/>
          </w:tcPr>
          <w:p>
            <w:pPr>
              <w:spacing w:line="240" w:lineRule="auto"/>
            </w:pPr>
            <w:r/>
            <w:r>
              <w:rPr>
                <w:sz w:val="17"/>
              </w:rPr>
              <w:t>AlphaFold</w:t>
            </w:r>
          </w:p>
        </w:tc>
      </w:tr>
      <w:tr>
        <w:tc>
          <w:tcPr>
            <w:tcW w:type="dxa" w:w="1428"/>
          </w:tcPr>
          <w:p>
            <w:pPr>
              <w:spacing w:line="240" w:lineRule="auto"/>
            </w:pPr>
            <w:r/>
            <w:r>
              <w:rPr>
                <w:sz w:val="17"/>
              </w:rPr>
              <w:t>VWF A1-GPIb alpha</w:t>
            </w:r>
          </w:p>
        </w:tc>
        <w:tc>
          <w:tcPr>
            <w:tcW w:type="dxa" w:w="1428"/>
          </w:tcPr>
          <w:p>
            <w:pPr>
              <w:spacing w:line="240" w:lineRule="auto"/>
            </w:pPr>
            <w:r/>
            <w:r>
              <w:rPr>
                <w:sz w:val="17"/>
              </w:rPr>
              <w:t>VWF</w:t>
            </w:r>
          </w:p>
        </w:tc>
        <w:tc>
          <w:tcPr>
            <w:tcW w:type="dxa" w:w="1428"/>
          </w:tcPr>
          <w:p>
            <w:pPr>
              <w:spacing w:line="240" w:lineRule="auto"/>
            </w:pPr>
            <w:r/>
            <w:r>
              <w:rPr>
                <w:sz w:val="17"/>
              </w:rPr>
              <w:t>2</w:t>
            </w:r>
          </w:p>
        </w:tc>
        <w:tc>
          <w:tcPr>
            <w:tcW w:type="dxa" w:w="1428"/>
          </w:tcPr>
          <w:p>
            <w:pPr>
              <w:spacing w:line="240" w:lineRule="auto"/>
            </w:pPr>
            <w:r/>
            <w:r>
              <w:rPr>
                <w:sz w:val="17"/>
              </w:rPr>
              <w:t>2</w:t>
            </w:r>
          </w:p>
        </w:tc>
        <w:tc>
          <w:tcPr>
            <w:tcW w:type="dxa" w:w="1428"/>
          </w:tcPr>
          <w:p>
            <w:pPr>
              <w:spacing w:line="240" w:lineRule="auto"/>
            </w:pPr>
            <w:r/>
            <w:r>
              <w:rPr>
                <w:sz w:val="17"/>
              </w:rPr>
              <w:t>0</w:t>
            </w:r>
          </w:p>
        </w:tc>
        <w:tc>
          <w:tcPr>
            <w:tcW w:type="dxa" w:w="1428"/>
          </w:tcPr>
          <w:p>
            <w:pPr>
              <w:spacing w:line="240" w:lineRule="auto"/>
            </w:pPr>
            <w:r/>
            <w:r>
              <w:rPr>
                <w:sz w:val="17"/>
              </w:rPr>
              <w:t>1SQ0.pdb</w:t>
            </w:r>
          </w:p>
        </w:tc>
        <w:tc>
          <w:tcPr>
            <w:tcW w:type="dxa" w:w="1428"/>
          </w:tcPr>
          <w:p>
            <w:pPr>
              <w:spacing w:line="240" w:lineRule="auto"/>
            </w:pPr>
            <w:r/>
            <w:r>
              <w:rPr>
                <w:sz w:val="17"/>
              </w:rPr>
              <w:t>Experimental</w:t>
            </w:r>
          </w:p>
        </w:tc>
      </w:tr>
    </w:tbl>
    <w:p ns2:paraId="1B598473" ns2:textId="4A96BC68" w:rsidR="00C5019D" w:rsidRPr="00F45AEA" w:rsidRDefault="00000000">
      <w:r>
        <w:t>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Clinically pathogenic is a clinical annotation, counted over every variant in the system and taken from the curated clinical record rather than from any structural evidence. It is deliberately on a different axis from the mechanism ground truth and is not used in any mechanism metric, so the two counts are independent and either can exceed the other. VHL-elongin C is the case where it does: all three variants are clinically pathogenic while two are mechanism-gradeable, because a variant can be pathogenic through a mechanism the supplied structure cannot represent. That independence is a premise of this paper rather than an inconsistency in the table, and Section 3.7 measures it. Per-variant detail, including the literature evidence that defined each expectation, is given in S1 Table (benchmark_variants sheet).</w:t>
      </w:r>
    </w:p>
    <w:p ns2:paraId="543B0233" ns2:textId="77777777" w:rsidR="005150BE" w:rsidRDefault="00000000">
      <w:r>
        <w:rPr>
          <w:rFonts w:ascii="Arial" w:eastAsia="Arial" w:hAnsi="Arial"/>
        </w:rPr>
        <w:t>Primary literature defined the expected direction of each applicable energy calculation before COMAVI results were considered. Evidence was classified into five categories by what the source measured, referred to below and in the supplement as E1 to E5. E1, quantitative energetic, is a reported thermodynamic or kinetic quantity for the substitution itself - a melting temperature shift, an unfolding free energy, or a dissociation constant. E2, quantitative functional, is a numerical assay readout that stands in for one of those quantities, such as a deep-mutational-scanning abundance or interaction score. E3, qualitative experimental, is a direct experimental observation reported without a number, such as loss of co-immunoprecipitation. E4, population frequency, is inference from allele frequency or constraint with no assay on the variant. E5, inferred, is an expectation carried by the mechanism of the domain rather than by any measurement of that axis. The ledger records the class, the one-line basis and the citation for all 98 committed axes (S3 Table). Each expectation was additionally classified by how directly its evidence supported the structural effect. An inferred expectation (E5) was used where the literature established the mechanism firmly enough to imply a particular state on a modeled axis, but no assay had measured that axis directly. A variant shown to retain normal binding while losing catalytic activity, for example, implies a neutral binding axis without a binding energy ever having been measured. Absence of a dedicated assay on its own was never treated as evidence; without a published result that implies the axis state, the axis was left uncommitted. Unknown or inapplicable axes were omitted rather than treated as negative. S1 Table (evidence_composition sheet) gives the definitions and counts.</w:t>
      </w:r>
      <w:commentRangeStart w:id="5"/>
      <w:r>
        <w:rPr>
          <w:rFonts w:ascii="Arial" w:eastAsia="Arial" w:hAnsi="Arial"/>
        </w:rPr>
      </w:r>
      <w:commentRangeEnd w:id="5"/>
      <w:r w:rsidR="00F45AEA">
        <w:rPr>
          <w:rStyle w:val="CommentReference"/>
          <w:rFonts w:ascii="Arial" w:eastAsia="Arial" w:hAnsi="Arial"/>
          <w:sz w:val="21"/>
          <w:szCs w:val="22"/>
        </w:rPr>
      </w:r>
      <w:r>
        <w:rPr>
          <w:rFonts w:ascii="Arial" w:eastAsia="Arial" w:hAnsi="Arial"/>
        </w:rPr>
      </w:r>
    </w:p>
    <w:p ns2:paraId="76D030DF" ns2:textId="77777777" w:rsidR="005150BE" w:rsidRDefault="00000000">
      <w:commentRangeStart w:id="6"/>
      <w:commentRangeStart w:id="7"/>
      <w:r>
        <w:rPr>
          <w:rFonts w:ascii="Arial" w:eastAsia="Arial" w:hAnsi="Arial"/>
        </w:rPr>
        <w:t>Which evidence class an expectation carries depends on what it asserts, because of how the literature is generated: a disruptive effect attracts a dedicated biophysical measurement far more often than a normal one does. The ledger shows the consequence plainly: of the 38 axes supported by quantitative evidence (E1 or E2), 25 expect destabilization, whereas of the 60 supported by softer evidence (E3 to E5) only 8 do, and all 9 population-supported and all 18 inferred expectations are neutral. Restricting the benchmark to the best-evidenced expectations would therefore discard most of the negative class rather than raise the standard evenly, so all evidence categories were retained in the main benchmark and the restriction was run as a sensitivity analysis instead, reported in Section 3.2 and S1 Text. These sensitivity analyses did not fit evidence weights or retune tier boundaries. Population-supported and inferred neutral expectations were reported as such, not as measured neutrality.</w:t>
      </w:r>
      <w:commentRangeEnd w:id="6"/>
      <w:r w:rsidR="007352F9">
        <w:rPr>
          <w:rStyle w:val="CommentReference"/>
          <w:rFonts w:ascii="Arial" w:eastAsia="Arial" w:hAnsi="Arial"/>
          <w:sz w:val="21"/>
          <w:szCs w:val="22"/>
        </w:rPr>
      </w:r>
      <w:commentRangeEnd w:id="7"/>
      <w:r w:rsidR="00F45AEA">
        <w:rPr>
          <w:rStyle w:val="CommentReference"/>
          <w:rFonts w:ascii="Arial" w:eastAsia="Arial" w:hAnsi="Arial"/>
          <w:sz w:val="21"/>
          <w:szCs w:val="22"/>
        </w:rPr>
      </w:r>
      <w:r>
        <w:rPr>
          <w:rFonts w:ascii="Arial" w:eastAsia="Arial" w:hAnsi="Arial"/>
        </w:rPr>
      </w:r>
      <w:commentRangeStart w:id="8"/>
      <w:commentRangeStart w:id="9"/>
      <w:r>
        <w:rPr>
          <w:rFonts w:ascii="Arial" w:eastAsia="Arial" w:hAnsi="Arial"/>
        </w:rPr>
      </w:r>
      <w:commentRangeEnd w:id="8"/>
      <w:r w:rsidR="00B96F2B">
        <w:rPr>
          <w:rStyle w:val="CommentReference"/>
          <w:rFonts w:ascii="Arial" w:eastAsia="Arial" w:hAnsi="Arial"/>
          <w:sz w:val="21"/>
          <w:szCs w:val="22"/>
        </w:rPr>
      </w:r>
      <w:commentRangeEnd w:id="9"/>
      <w:r w:rsidR="00F45AEA">
        <w:rPr>
          <w:rStyle w:val="CommentReference"/>
          <w:rFonts w:ascii="Arial" w:eastAsia="Arial" w:hAnsi="Arial"/>
          <w:sz w:val="21"/>
          <w:szCs w:val="22"/>
        </w:rPr>
      </w:r>
      <w:r>
        <w:rPr>
          <w:rFonts w:ascii="Arial" w:eastAsia="Arial" w:hAnsi="Arial"/>
        </w:rPr>
      </w:r>
    </w:p>
    <w:p ns2:paraId="2BEFCCC1" ns2:textId="77777777" w:rsidR="005150BE" w:rsidRDefault="00000000">
      <w:pPr>
        <w:pStyle w:val="Heading3"/>
      </w:pPr>
      <w:r>
        <w:t>2.2.1 Model scope: can the supplied structure represent the mechanism?</w:t>
      </w:r>
    </w:p>
    <w:p ns2:paraId="298ED7C4" ns2:textId="47CE0CBC" w:rsidR="005150BE" w:rsidRDefault="00000000">
      <w:r>
        <w:t>Before scoring known mechanism</w:t>
      </w:r>
      <w:r w:rsidR="007352F9">
        <w:t>s</w:t>
      </w:r>
      <w:r>
        <w:t xml:space="preserve">,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w:t>
      </w:r>
      <w:r>
        <w:lastRenderedPageBreak/>
        <w:t>does not infer a literature-grounded mechanism or model-scope class. S1 Table (model_scope sheet) gives the framework.</w:t>
      </w:r>
    </w:p>
    <w:p ns2:paraId="67F830E6" ns2:textId="77777777" w:rsidR="005150BE" w:rsidRDefault="00000000">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ns2:paraId="3778D853" ns2:textId="77777777" w:rsidR="005150BE" w:rsidRDefault="00000000">
      <w:pPr>
        <w:pStyle w:val="Heading2"/>
      </w:pPr>
      <w:r>
        <w:t>2.3 Structures and energy calculations</w:t>
      </w:r>
    </w:p>
    <w:p ns2:paraId="320FA9CA" ns2:textId="77777777" w:rsidR="005150BE" w:rsidRDefault="00000000">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S1 Table (model_scope sheet) states the eligibility rules and the mechanisms they exclude. Complex structures were predicted with the AlphaFold 3 server [4]. Experimental structures replaced predicted models when the relevant site or interface lacked adequate confidence: 2HHB for hemoglobin, 6XI7 for KRAS-RAF1, and 1JM7 for BRCA1-BARD1. The BRCA1 tandem-BRCT monomer panel used 1JNX. All energy calculations used FoldX 5.1 [44] with default energy-function parameters. Each structure was repaired once with RepairPDB and reused across variants.</w:t>
      </w:r>
    </w:p>
    <w:p ns2:paraId="1DF188B8" ns2:textId="19E1061B" w:rsidR="005150BE" w:rsidRDefault="00000000">
      <w:r>
        <w:t xml:space="preserve">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AnalyzeComplex was then applied to each FoldX-generated mutant complex to calculate interaction-energy changes for each partner. Summary outputs use the most disruptive partner, while partner-level values remain available. S1 Text provides </w:t>
      </w:r>
      <w:r w:rsidR="001141A1">
        <w:t>complete</w:t>
      </w:r>
      <w:r>
        <w:t xml:space="preserve"> commands and implementation details.</w:t>
      </w:r>
    </w:p>
    <w:p ns2:paraId="5616C89E" ns2:textId="77777777" w:rsidR="005150BE" w:rsidRDefault="00000000">
      <w:r>
        <w:t>BuildModel and AnalyzeComplex measure different things. BuildModel estimates folding-energy changes for the chains and coordinates supplied to it; AnalyzeComplex estimates changes in inter-chain interaction energy. Calculating both prevents an interface-localized fold signal from being mislabeled as a binding-energy change and permits combined fold-plus-binding profiles when both axes fire.</w:t>
      </w:r>
      <w:r/>
    </w:p>
    <w:p ns2:paraId="431B4411" ns2:textId="77777777" w:rsidR="005150BE" w:rsidRDefault="00000000">
      <w:pPr>
        <w:pStyle w:val="Heading2"/>
      </w:pPr>
      <w:r>
        <w:t>2.4 Structural confidence and usable outputs</w:t>
      </w:r>
    </w:p>
    <w:p ns2:paraId="080F24E2" ns2:textId="77777777" w:rsidR="005150BE" w:rsidRDefault="00000000">
      <w:r>
        <w:rPr>
          <w:rFonts w:ascii="Arial" w:eastAsia="Arial" w:hAnsi="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ns2:paraId="4806AA5F" ns2:textId="77777777" w:rsidR="005150BE" w:rsidRDefault="00000000">
      <w:pPr>
        <w:pStyle w:val="Heading2"/>
      </w:pPr>
      <w:r>
        <w:t>2.5 Structural-context tier and priority score</w:t>
      </w:r>
    </w:p>
    <w:p ns2:paraId="42C2E829" ns2:textId="77777777" w:rsidR="005150BE" w:rsidRDefault="00000000">
      <w:r>
        <w:rPr>
          <w:rFonts w:ascii="Arial" w:eastAsia="Arial" w:hAnsi="Arial"/>
        </w:rPr>
        <w:t>The structural-context tier describes how strongly a site is embedded in features that may make it sensitive to substitution; it contains no FoldX energy and is not itself a mechanism call. It combines substitution severity, local contacts, interface occupancy, burial, and model confidence, then maps the fixed total to Tier 1 (strongest context) through Tier 4 (weakest). S1 Text gives the exact weights and cutoffs.</w:t>
      </w:r>
    </w:p>
    <w:p ns2:paraId="4A514B14" ns2:textId="77777777" w:rsidR="005150BE" w:rsidRDefault="00000000">
      <w:r>
        <w:rPr>
          <w:rFonts w:ascii="Arial" w:eastAsia="Arial" w:hAnsi="Arial"/>
        </w:rPr>
        <w:t>Because interface occupancy contributes directly to the tier, we tested how much it drove the result. On the same 47-variant prioritization subset, we compared the full tier with interface status alone and with the tier recalculated without its interface bonus. S2 Text, S3 Fig, and the within-system tests report these comparisons.</w:t>
      </w:r>
    </w:p>
    <w:p ns2:paraId="2BBA2478" ns2:textId="77777777" w:rsidR="005150BE" w:rsidRDefault="00000000">
      <w:r>
        <w:rPr>
          <w:rFonts w:ascii="Arial" w:eastAsia="Arial" w:hAnsi="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ns2:paraId="1F15E025" ns2:textId="77777777" w:rsidR="005150BE" w:rsidRDefault="00000000">
      <w:r>
        <w:rPr>
          <w:rFonts w:ascii="Arial" w:eastAsia="Arial" w:hAnsi="Arial"/>
        </w:rPr>
        <w:t>For each usable energetic calculation j, COMAVI divides |ΔΔG_j| by a fixed reference value τ_j: 2.9 kcal/mol for isolated-subunit and assembled-complex stability and 3.5 kcal/mol for binding. These are the same numbers as the substitution-adjusted operating point defined in Section 2.6, because both are taken from the same published FoldX prediction intervals, but they are doing a different job here and nothing is excluded by them. The name refers to where the numbers come from rather than to how they vary: the intervals are fitted from error models in which FoldX's uncertainty depends on the substitution made, while the resulting bound takes one value per axis. τ_j is a divisor that puts three axes measured on different energy scales onto one comparable scale, not a cut-off: a calculation below τ_j contributes a ratio smaller than one rather than contributing nothing, so the priority score remains continuous and applies no threshold. The largest ratio, R, represents the strongest reliable energetic signal without adding correlated isolated and assembled stability effects.</w:t>
      </w:r>
    </w:p>
    <w:p ns2:paraId="2544A909" ns2:textId="77777777" w:rsidR="005150BE" w:rsidRDefault="00000000">
      <w:pPr>
        <w:keepNext/>
        <w:spacing w:before="60" w:after="60"/>
        <w:jc w:val="center"/>
      </w:pPr>
      <w:r>
        <w:rPr>
          <w:rFonts w:ascii="Cambria Math" w:eastAsia="Cambria Math" w:hAnsi="Cambria Math"/>
          <w:b/>
          <w:sz w:val="23"/>
        </w:rPr>
        <w:t>R = max_j (|ΔΔG_j| / τ_j)</w:t>
      </w:r>
    </w:p>
    <w:p ns2:paraId="56157D95" ns2:textId="77777777" w:rsidR="005150BE" w:rsidRDefault="00000000">
      <w:r>
        <w:rPr>
          <w:rFonts w:ascii="Arial" w:eastAsia="Arial" w:hAnsi="Arial"/>
        </w:rPr>
        <w:t>COMAVI softly compresses R so that one extreme FoldX prediction cannot dominate the ranking.</w:t>
      </w:r>
    </w:p>
    <w:p ns2:paraId="117FA9A1" ns2:textId="77777777" w:rsidR="005150BE" w:rsidRDefault="00000000">
      <w:pPr>
        <w:keepNext/>
        <w:spacing w:before="60" w:after="60"/>
        <w:jc w:val="center"/>
      </w:pPr>
      <w:r>
        <w:rPr>
          <w:rFonts w:ascii="Cambria Math" w:eastAsia="Cambria Math" w:hAnsi="Cambria Math"/>
          <w:b/>
          <w:sz w:val="23"/>
        </w:rPr>
        <w:t>E = R / (1 + R)</w:t>
      </w:r>
    </w:p>
    <w:p ns2:paraId="699B3990" ns2:textId="77777777" w:rsidR="005150BE" w:rsidRDefault="00000000">
      <w:r>
        <w:rPr>
          <w:rFonts w:ascii="Arial" w:eastAsia="Arial" w:hAnsi="Arial"/>
        </w:rPr>
        <w:t>The tier number T is converted to a context component C, mapping Tiers 1-4 to 1.000, 0.667, 0.333, and 0.</w:t>
      </w:r>
    </w:p>
    <w:p ns2:paraId="02FC2C5F" ns2:textId="77777777" w:rsidR="005150BE" w:rsidRDefault="00000000">
      <w:pPr>
        <w:keepNext/>
        <w:spacing w:before="60" w:after="60"/>
        <w:jc w:val="center"/>
      </w:pPr>
      <w:r>
        <w:rPr>
          <w:rFonts w:ascii="Cambria Math" w:eastAsia="Cambria Math" w:hAnsi="Cambria Math"/>
          <w:b/>
          <w:sz w:val="23"/>
        </w:rPr>
        <w:t>C = (4 - T) / 3</w:t>
      </w:r>
    </w:p>
    <w:p ns2:paraId="1F3EF0EF" ns2:textId="77777777" w:rsidR="005150BE" w:rsidRDefault="00000000">
      <w:pPr>
        <w:keepNext/>
        <w:spacing w:before="60" w:after="60"/>
        <w:jc w:val="center"/>
      </w:pPr>
      <w:r>
        <w:rPr>
          <w:rFonts w:ascii="Cambria Math" w:eastAsia="Cambria Math" w:hAnsi="Cambria Math"/>
          <w:b/>
          <w:sz w:val="23"/>
        </w:rPr>
        <w:t>ISDS-v1 = (E + C) / 2</w:t>
      </w:r>
    </w:p>
    <w:p ns2:paraId="4CADD20C" ns2:textId="77777777" w:rsidR="005150BE" w:rsidRDefault="00000000">
      <w:r>
        <w:rPr>
          <w:rFonts w:ascii="Arial" w:eastAsia="Arial" w:hAnsi="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ns2:paraId="4360034E" ns2:textId="77777777" w:rsidR="005150BE" w:rsidRDefault="00000000">
      <w:pPr>
        <w:pStyle w:val="Heading2"/>
      </w:pPr>
      <w:r>
        <w:t>2.6 Energy thresholds and descriptive evidence states</w:t>
      </w:r>
    </w:p>
    <w:p ns2:paraId="556BA538" ns2:textId="77777777" w:rsidR="005150BE" w:rsidRDefault="00000000">
      <w:r>
        <w:rPr>
          <w:rFonts w:ascii="Arial" w:eastAsia="Arial" w:hAnsi="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one substitution-adjusted setting. That setting is not a single number: it takes a different value on each axis, because the reported uncertainty of a FoldX prediction depends on the substitution and on the quantity being predicted, and it is set to the upper bound of the 95% prediction interval that Sapozhnikov and colleagues fitted to FoldX folding and binding predictions [45] - 2.9 kcal/mol for isolated-subunit stability, 2.9 for assembled-complex stability, and 3.5 for binding. It is therefore the most conservative point in the set: a call survives it only if the predicted effect exceeds what prediction error alone could produce. The released software uses 1.0 kcal/mol as a screening-oriented default. We use 2.5 kcal/mol as the frozen benchmark reference and the substitution-adjusted setting as the most conservative point evaluated. None is universally optimal.</w:t>
      </w:r>
      <w:commentRangeStart w:id="10"/>
      <w:r>
        <w:rPr>
          <w:rFonts w:ascii="Arial" w:eastAsia="Arial" w:hAnsi="Arial"/>
        </w:rPr>
      </w:r>
      <w:commentRangeEnd w:id="10"/>
      <w:r w:rsidR="008B6CF6">
        <w:rPr>
          <w:rStyle w:val="CommentReference"/>
          <w:rFonts w:ascii="Arial" w:eastAsia="Arial" w:hAnsi="Arial"/>
          <w:sz w:val="21"/>
          <w:szCs w:val="22"/>
        </w:rPr>
      </w:r>
      <w:r>
        <w:rPr>
          <w:rFonts w:ascii="Arial" w:eastAsia="Arial" w:hAnsi="Arial"/>
        </w:rPr>
      </w:r>
      <w:r>
        <w:rPr>
          <w:rFonts w:ascii="Arial" w:eastAsia="Arial" w:hAnsi="Arial"/>
        </w:rPr>
      </w:r>
      <w:commentRangeStart w:id="11"/>
      <w:r>
        <w:rPr>
          <w:rFonts w:ascii="Arial" w:eastAsia="Arial" w:hAnsi="Arial"/>
        </w:rPr>
      </w:r>
      <w:commentRangeEnd w:id="11"/>
      <w:r w:rsidR="008B6CF6">
        <w:rPr>
          <w:rStyle w:val="CommentReference"/>
          <w:rFonts w:ascii="Arial" w:eastAsia="Arial" w:hAnsi="Arial"/>
          <w:sz w:val="21"/>
          <w:szCs w:val="22"/>
        </w:rPr>
      </w:r>
      <w:r>
        <w:rPr>
          <w:rFonts w:ascii="Arial" w:eastAsia="Arial" w:hAnsi="Arial"/>
        </w:rPr>
      </w:r>
    </w:p>
    <w:p ns2:paraId="1DAE460A" ns2:textId="77777777" w:rsidR="005150BE" w:rsidRPr="00B96F2B" w:rsidRDefault="00000000">
      <w:pPr>
        <w:rPr>
          <w:rFonts w:ascii="Arial" w:hAnsi="Arial" w:cs="Arial"/>
        </w:rPr>
      </w:pPr>
      <w:r w:rsidRPr="00B96F2B">
        <w:rPr>
          <w:rFonts w:ascii="Arial" w:hAnsi="Arial" w:cs="Arial"/>
        </w:rP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ns2:paraId="41C1A84D" ns2:textId="77777777" w:rsidR="005150BE" w:rsidRPr="00B96F2B" w:rsidRDefault="00000000">
      <w:pPr>
        <w:rPr>
          <w:rFonts w:ascii="Arial" w:hAnsi="Arial" w:cs="Arial"/>
        </w:rPr>
      </w:pPr>
      <w:commentRangeStart w:id="12"/>
      <w:r w:rsidRPr="00B96F2B">
        <w:rPr>
          <w:rFonts w:ascii="Arial" w:hAnsi="Arial" w:cs="Arial"/>
        </w:rPr>
        <w:t>We also combined energy calls and tier into four descriptive states - both positive, energy only, context only, or neither - to summarize evidence patterns without redefining the physical mechanism. Definitions and the full state tables are in S2 Text.</w:t>
      </w:r>
      <w:commentRangeEnd w:id="12"/>
      <w:r w:rsidR="008B6CF6" w:rsidRPr="00B96F2B">
        <w:rPr>
          <w:rStyle w:val="CommentReference"/>
          <w:rFonts w:ascii="Arial" w:hAnsi="Arial" w:cs="Arial"/>
          <w:sz w:val="21"/>
          <w:szCs w:val="22"/>
        </w:rPr>
      </w:r>
    </w:p>
    <w:p ns2:paraId="3D62746E" ns2:textId="77777777" w:rsidR="005150BE" w:rsidRDefault="00000000">
      <w:pPr>
        <w:pStyle w:val="Heading2"/>
      </w:pPr>
      <w:r>
        <w:t>2.7 Benchmark outcomes and statistical analysis</w:t>
      </w:r>
    </w:p>
    <w:p ns2:paraId="05196D5E" ns2:textId="77777777" w:rsidR="005150BE" w:rsidRDefault="00000000">
      <w:r>
        <w:rPr>
          <w:rFonts w:ascii="Arial" w:eastAsia="Arial" w:hAnsi="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ns2:paraId="3B85549D" ns2:textId="77777777" w:rsidR="005150BE" w:rsidRDefault="00000000">
      <w:pPr>
        <w:pStyle w:val="Caption"/>
        <w:keepNext/>
      </w:pPr>
      <w:r>
        <w:lastRenderedPageBreak/>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rsidR="005150BE" ns2:paraId="2F6AE152" ns2:textId="77777777">
        <w:trPr>
          <w:cantSplit/>
          <w:tblHeader/>
          <w:jc w:val="center"/>
        </w:trPr>
        <w:tc>
          <w:tcPr>
            <w:tcW w:w="6192" w:type="dxa"/>
            <w:shd w:val="clear" w:color="auto" w:fill="17324D"/>
            <w:tcMar>
              <w:top w:w="60" w:type="dxa"/>
              <w:left w:w="70" w:type="dxa"/>
              <w:bottom w:w="60" w:type="dxa"/>
              <w:right w:w="70" w:type="dxa"/>
            </w:tcMar>
            <w:vAlign w:val="center"/>
          </w:tcPr>
          <w:p ns2:paraId="050BDDFC" ns2:textId="77777777" w:rsidR="005150BE" w:rsidRDefault="00000000">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ns2:paraId="334FC2F2" ns2:textId="77777777" w:rsidR="005150BE" w:rsidRDefault="00000000">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ns2:paraId="15F692D0" ns2:textId="77777777" w:rsidR="005150BE" w:rsidRDefault="00000000">
            <w:pPr>
              <w:spacing w:after="0" w:line="240" w:lineRule="auto"/>
            </w:pPr>
            <w:r>
              <w:rPr>
                <w:b/>
                <w:color w:val="FFFFFF"/>
                <w:sz w:val="15"/>
              </w:rPr>
              <w:t>Score</w:t>
            </w:r>
          </w:p>
        </w:tc>
      </w:tr>
      <w:tr w:rsidR="005150BE" ns2:paraId="45E8EEDB" ns2:textId="77777777">
        <w:trPr>
          <w:cantSplit/>
          <w:jc w:val="center"/>
        </w:trPr>
        <w:tc>
          <w:tcPr>
            <w:tcW w:w="6192" w:type="dxa"/>
            <w:tcMar>
              <w:top w:w="60" w:type="dxa"/>
              <w:left w:w="70" w:type="dxa"/>
              <w:bottom w:w="60" w:type="dxa"/>
              <w:right w:w="70" w:type="dxa"/>
            </w:tcMar>
            <w:vAlign w:val="center"/>
          </w:tcPr>
          <w:p ns2:paraId="3252E3A0" ns2:textId="77777777" w:rsidR="005150BE" w:rsidRDefault="00000000">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ns2:paraId="30F34CFD" ns2:textId="77777777" w:rsidR="005150BE" w:rsidRDefault="00000000">
            <w:r>
              <w:rPr>
                <w:sz w:val="15"/>
              </w:rPr>
              <w:t>Not applicable</w:t>
            </w:r>
          </w:p>
        </w:tc>
        <w:tc>
          <w:tcPr>
            <w:tcW w:w="936" w:type="dxa"/>
            <w:tcMar>
              <w:top w:w="60" w:type="dxa"/>
              <w:left w:w="70" w:type="dxa"/>
              <w:bottom w:w="60" w:type="dxa"/>
              <w:right w:w="70" w:type="dxa"/>
            </w:tcMar>
            <w:vAlign w:val="center"/>
          </w:tcPr>
          <w:p ns2:paraId="00DD53EA" ns2:textId="77777777" w:rsidR="005150BE" w:rsidRDefault="00000000">
            <w:r>
              <w:rPr>
                <w:sz w:val="15"/>
              </w:rPr>
              <w:t>Excluded</w:t>
            </w:r>
          </w:p>
        </w:tc>
      </w:tr>
      <w:tr w:rsidR="005150BE" ns2:paraId="4A1697CF" ns2:textId="77777777">
        <w:trPr>
          <w:cantSplit/>
          <w:jc w:val="center"/>
        </w:trPr>
        <w:tc>
          <w:tcPr>
            <w:tcW w:w="6192" w:type="dxa"/>
            <w:shd w:val="clear" w:color="auto" w:fill="F7F9FB"/>
            <w:tcMar>
              <w:top w:w="60" w:type="dxa"/>
              <w:left w:w="70" w:type="dxa"/>
              <w:bottom w:w="60" w:type="dxa"/>
              <w:right w:w="70" w:type="dxa"/>
            </w:tcMar>
            <w:vAlign w:val="center"/>
          </w:tcPr>
          <w:p ns2:paraId="14201FE7" ns2:textId="77777777" w:rsidR="005150BE" w:rsidRDefault="00000000">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ns2:paraId="2F74A5C7" ns2:textId="77777777" w:rsidR="005150BE" w:rsidRDefault="00000000">
            <w:r>
              <w:rPr>
                <w:sz w:val="15"/>
              </w:rPr>
              <w:t>Consistent</w:t>
            </w:r>
          </w:p>
        </w:tc>
        <w:tc>
          <w:tcPr>
            <w:tcW w:w="936" w:type="dxa"/>
            <w:shd w:val="clear" w:color="auto" w:fill="F7F9FB"/>
            <w:tcMar>
              <w:top w:w="60" w:type="dxa"/>
              <w:left w:w="70" w:type="dxa"/>
              <w:bottom w:w="60" w:type="dxa"/>
              <w:right w:w="70" w:type="dxa"/>
            </w:tcMar>
            <w:vAlign w:val="center"/>
          </w:tcPr>
          <w:p ns2:paraId="29089A5D" ns2:textId="77777777" w:rsidR="005150BE" w:rsidRDefault="00000000">
            <w:r>
              <w:rPr>
                <w:sz w:val="15"/>
              </w:rPr>
              <w:t>1.0</w:t>
            </w:r>
          </w:p>
        </w:tc>
      </w:tr>
      <w:tr w:rsidR="005150BE" ns2:paraId="260EBA18" ns2:textId="77777777">
        <w:trPr>
          <w:cantSplit/>
          <w:jc w:val="center"/>
        </w:trPr>
        <w:tc>
          <w:tcPr>
            <w:tcW w:w="6192" w:type="dxa"/>
            <w:tcMar>
              <w:top w:w="60" w:type="dxa"/>
              <w:left w:w="70" w:type="dxa"/>
              <w:bottom w:w="60" w:type="dxa"/>
              <w:right w:w="70" w:type="dxa"/>
            </w:tcMar>
            <w:vAlign w:val="center"/>
          </w:tcPr>
          <w:p ns2:paraId="5FCAB89D" ns2:textId="77777777" w:rsidR="005150BE" w:rsidRDefault="00000000">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ns2:paraId="7F1945C2" ns2:textId="77777777" w:rsidR="005150BE" w:rsidRDefault="00000000">
            <w:r>
              <w:rPr>
                <w:sz w:val="15"/>
              </w:rPr>
              <w:t>Consistent</w:t>
            </w:r>
          </w:p>
        </w:tc>
        <w:tc>
          <w:tcPr>
            <w:tcW w:w="936" w:type="dxa"/>
            <w:tcMar>
              <w:top w:w="60" w:type="dxa"/>
              <w:left w:w="70" w:type="dxa"/>
              <w:bottom w:w="60" w:type="dxa"/>
              <w:right w:w="70" w:type="dxa"/>
            </w:tcMar>
            <w:vAlign w:val="center"/>
          </w:tcPr>
          <w:p ns2:paraId="079624CE" ns2:textId="77777777" w:rsidR="005150BE" w:rsidRDefault="00000000">
            <w:r>
              <w:rPr>
                <w:sz w:val="15"/>
              </w:rPr>
              <w:t>1.0</w:t>
            </w:r>
          </w:p>
        </w:tc>
      </w:tr>
      <w:tr w:rsidR="005150BE" ns2:paraId="5F125F6C" ns2:textId="77777777">
        <w:trPr>
          <w:cantSplit/>
          <w:jc w:val="center"/>
        </w:trPr>
        <w:tc>
          <w:tcPr>
            <w:tcW w:w="6192" w:type="dxa"/>
            <w:shd w:val="clear" w:color="auto" w:fill="F7F9FB"/>
            <w:tcMar>
              <w:top w:w="60" w:type="dxa"/>
              <w:left w:w="70" w:type="dxa"/>
              <w:bottom w:w="60" w:type="dxa"/>
              <w:right w:w="70" w:type="dxa"/>
            </w:tcMar>
            <w:vAlign w:val="center"/>
          </w:tcPr>
          <w:p ns2:paraId="1E05FA98" ns2:textId="77777777" w:rsidR="005150BE" w:rsidRDefault="00000000">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ns2:paraId="666B64D2" ns2:textId="77777777" w:rsidR="005150BE" w:rsidRDefault="00000000">
            <w:r>
              <w:rPr>
                <w:sz w:val="15"/>
              </w:rPr>
              <w:t>Partial</w:t>
            </w:r>
          </w:p>
        </w:tc>
        <w:tc>
          <w:tcPr>
            <w:tcW w:w="936" w:type="dxa"/>
            <w:shd w:val="clear" w:color="auto" w:fill="F7F9FB"/>
            <w:tcMar>
              <w:top w:w="60" w:type="dxa"/>
              <w:left w:w="70" w:type="dxa"/>
              <w:bottom w:w="60" w:type="dxa"/>
              <w:right w:w="70" w:type="dxa"/>
            </w:tcMar>
            <w:vAlign w:val="center"/>
          </w:tcPr>
          <w:p ns2:paraId="4107B0B1" ns2:textId="77777777" w:rsidR="005150BE" w:rsidRDefault="00000000">
            <w:r>
              <w:rPr>
                <w:sz w:val="15"/>
              </w:rPr>
              <w:t>0.5</w:t>
            </w:r>
          </w:p>
        </w:tc>
      </w:tr>
      <w:tr w:rsidR="005150BE" ns2:paraId="5B31D75D" ns2:textId="77777777">
        <w:trPr>
          <w:cantSplit/>
          <w:jc w:val="center"/>
        </w:trPr>
        <w:tc>
          <w:tcPr>
            <w:tcW w:w="6192" w:type="dxa"/>
            <w:tcMar>
              <w:top w:w="60" w:type="dxa"/>
              <w:left w:w="70" w:type="dxa"/>
              <w:bottom w:w="60" w:type="dxa"/>
              <w:right w:w="70" w:type="dxa"/>
            </w:tcMar>
            <w:vAlign w:val="center"/>
          </w:tcPr>
          <w:p ns2:paraId="5EE3AC5E" ns2:textId="77777777" w:rsidR="005150BE" w:rsidRDefault="00000000">
            <w:r>
              <w:rPr>
                <w:sz w:val="15"/>
              </w:rPr>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ns2:paraId="5F586ED5" ns2:textId="77777777" w:rsidR="005150BE" w:rsidRDefault="00000000">
            <w:r>
              <w:rPr>
                <w:sz w:val="15"/>
              </w:rPr>
              <w:t>Partial</w:t>
            </w:r>
          </w:p>
        </w:tc>
        <w:tc>
          <w:tcPr>
            <w:tcW w:w="936" w:type="dxa"/>
            <w:tcMar>
              <w:top w:w="60" w:type="dxa"/>
              <w:left w:w="70" w:type="dxa"/>
              <w:bottom w:w="60" w:type="dxa"/>
              <w:right w:w="70" w:type="dxa"/>
            </w:tcMar>
            <w:vAlign w:val="center"/>
          </w:tcPr>
          <w:p ns2:paraId="5EA0D5AB" ns2:textId="77777777" w:rsidR="005150BE" w:rsidRDefault="00000000">
            <w:r>
              <w:rPr>
                <w:sz w:val="15"/>
              </w:rPr>
              <w:t>0.5</w:t>
            </w:r>
          </w:p>
        </w:tc>
      </w:tr>
      <w:tr w:rsidR="005150BE" ns2:paraId="4EB8A9D2" ns2:textId="77777777">
        <w:trPr>
          <w:cantSplit/>
          <w:jc w:val="center"/>
        </w:trPr>
        <w:tc>
          <w:tcPr>
            <w:tcW w:w="6192" w:type="dxa"/>
            <w:shd w:val="clear" w:color="auto" w:fill="F7F9FB"/>
            <w:tcMar>
              <w:top w:w="60" w:type="dxa"/>
              <w:left w:w="70" w:type="dxa"/>
              <w:bottom w:w="60" w:type="dxa"/>
              <w:right w:w="70" w:type="dxa"/>
            </w:tcMar>
            <w:vAlign w:val="center"/>
          </w:tcPr>
          <w:p ns2:paraId="221FE740" ns2:textId="77777777" w:rsidR="005150BE" w:rsidRDefault="00000000">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ns2:paraId="3CF73B45" ns2:textId="77777777" w:rsidR="005150BE" w:rsidRDefault="00000000">
            <w:r>
              <w:rPr>
                <w:sz w:val="15"/>
              </w:rPr>
              <w:t>Inconsistent</w:t>
            </w:r>
          </w:p>
        </w:tc>
        <w:tc>
          <w:tcPr>
            <w:tcW w:w="936" w:type="dxa"/>
            <w:shd w:val="clear" w:color="auto" w:fill="F7F9FB"/>
            <w:tcMar>
              <w:top w:w="60" w:type="dxa"/>
              <w:left w:w="70" w:type="dxa"/>
              <w:bottom w:w="60" w:type="dxa"/>
              <w:right w:w="70" w:type="dxa"/>
            </w:tcMar>
            <w:vAlign w:val="center"/>
          </w:tcPr>
          <w:p ns2:paraId="73A9A8AB" ns2:textId="77777777" w:rsidR="005150BE" w:rsidRDefault="00000000">
            <w:r>
              <w:rPr>
                <w:sz w:val="15"/>
              </w:rPr>
              <w:t>0.0</w:t>
            </w:r>
          </w:p>
        </w:tc>
      </w:tr>
      <w:tr w:rsidR="005150BE" ns2:paraId="348C430B" ns2:textId="77777777">
        <w:trPr>
          <w:cantSplit/>
          <w:jc w:val="center"/>
        </w:trPr>
        <w:tc>
          <w:tcPr>
            <w:tcW w:w="6192" w:type="dxa"/>
            <w:tcMar>
              <w:top w:w="60" w:type="dxa"/>
              <w:left w:w="70" w:type="dxa"/>
              <w:bottom w:w="60" w:type="dxa"/>
              <w:right w:w="70" w:type="dxa"/>
            </w:tcMar>
            <w:vAlign w:val="center"/>
          </w:tcPr>
          <w:p ns2:paraId="1D57C751" ns2:textId="77777777" w:rsidR="005150BE" w:rsidRDefault="00000000">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ns2:paraId="4B8622BA" ns2:textId="77777777" w:rsidR="005150BE" w:rsidRDefault="00000000">
            <w:r>
              <w:rPr>
                <w:sz w:val="15"/>
              </w:rPr>
              <w:t>Inconsistent</w:t>
            </w:r>
          </w:p>
        </w:tc>
        <w:tc>
          <w:tcPr>
            <w:tcW w:w="936" w:type="dxa"/>
            <w:tcMar>
              <w:top w:w="60" w:type="dxa"/>
              <w:left w:w="70" w:type="dxa"/>
              <w:bottom w:w="60" w:type="dxa"/>
              <w:right w:w="70" w:type="dxa"/>
            </w:tcMar>
            <w:vAlign w:val="center"/>
          </w:tcPr>
          <w:p ns2:paraId="73EF0B2A" ns2:textId="77777777" w:rsidR="005150BE" w:rsidRDefault="00000000">
            <w:r>
              <w:rPr>
                <w:sz w:val="15"/>
              </w:rPr>
              <w:t>0.0</w:t>
            </w:r>
          </w:p>
        </w:tc>
      </w:tr>
    </w:tbl>
    <w:p ns2:paraId="03F4CF59" ns2:textId="77777777" w:rsidR="005150BE" w:rsidRPr="00474BDD" w:rsidRDefault="00000000">
      <w:pPr>
        <w:rPr>
          <w:rFonts w:ascii="Arial" w:hAnsi="Arial" w:cs="Arial"/>
        </w:rPr>
      </w:pPr>
      <w:r w:rsidRPr="00474BDD">
        <w:rPr>
          <w:rFonts w:ascii="Arial" w:hAnsi="Arial" w:cs="Arial"/>
        </w:rPr>
        <w:t>To identify which calculations contributed, we also counted direction agreement separately for isolated-subunit stability, assembled-complex stability, and binding. An axis agrees in direction when the call COMAVI makes on it matches the token the literature committed for that axis - destabilizing where destabilization is expected, neutral where no effect is expected - irrespective of how large the predicted energy is. Predicted-versus-measured analyses assessed rank correlation, scale compression, and the number of experimentally destabilizing effects recovered at each threshold. Continuity metrics and denominator audits are reported in S3 Text.</w:t>
      </w:r>
      <w:commentRangeStart w:id="13"/>
      <w:r w:rsidRPr="00474BDD">
        <w:rPr>
          <w:rFonts w:ascii="Arial" w:hAnsi="Arial" w:cs="Arial"/>
        </w:rPr>
      </w:r>
      <w:commentRangeEnd w:id="13"/>
      <w:r w:rsidR="00BA0E61" w:rsidRPr="00474BDD">
        <w:rPr>
          <w:rStyle w:val="CommentReference"/>
          <w:rFonts w:ascii="Arial" w:hAnsi="Arial" w:cs="Arial"/>
          <w:sz w:val="21"/>
          <w:szCs w:val="22"/>
        </w:rPr>
      </w:r>
      <w:r w:rsidRPr="00474BDD">
        <w:rPr>
          <w:rFonts w:ascii="Arial" w:hAnsi="Arial" w:cs="Arial"/>
        </w:rPr>
      </w:r>
    </w:p>
    <w:p ns2:paraId="61C32E58" ns2:textId="77777777" w:rsidR="005150BE" w:rsidRDefault="00000000">
      <w:r>
        <w:rPr>
          <w:rFonts w:ascii="Arial" w:eastAsia="Arial" w:hAnsi="Arial"/>
        </w:rPr>
        <w:t>For structural prioritization, the positive class was the 17 variants with a modeled structural mechanism and the negative class was the 30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17 structural mechanisms would be encountered if a researcher could test only the first 10, 20, or 25 variants. Formula comparisons, score bands, and component analyses were treated as internal sensitivity analyses because the same resource informed score development.</w:t>
      </w:r>
    </w:p>
    <w:p ns2:paraId="17D5DBD5" ns2:textId="77777777" w:rsidR="005150BE" w:rsidRPr="00474BDD" w:rsidRDefault="00000000">
      <w:pPr>
        <w:rPr>
          <w:rFonts w:ascii="Arial" w:hAnsi="Arial" w:cs="Arial"/>
        </w:rPr>
      </w:pPr>
      <w:r w:rsidRPr="00474BDD">
        <w:rPr>
          <w:rFonts w:ascii="Arial" w:hAnsi="Arial" w:cs="Arial"/>
        </w:rPr>
        <w:lastRenderedPageBreak/>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ns2:paraId="025F4982" ns2:textId="77777777" w:rsidR="005150BE" w:rsidRDefault="00000000">
      <w:pPr>
        <w:pStyle w:val="Heading2"/>
      </w:pPr>
      <w:r>
        <w:t>2.8 Software, code, and data availability</w:t>
      </w:r>
    </w:p>
    <w:p ns2:paraId="1C93AC83" ns2:textId="07259580" w:rsidR="005150BE" w:rsidRPr="00474BDD" w:rsidRDefault="00000000">
      <w:pPr>
        <w:rPr>
          <w:rFonts w:ascii="Arial" w:hAnsi="Arial" w:cs="Arial"/>
        </w:rPr>
      </w:pPr>
      <w:r w:rsidRPr="00474BDD">
        <w:rPr>
          <w:rFonts w:ascii="Arial" w:hAnsi="Arial" w:cs="Arial"/>
        </w:rP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generic, and live or external runs receive the same versioned fields. FoldX and large structural-input collections are not redistributed.</w:t>
      </w:r>
    </w:p>
    <w:p ns2:paraId="684DDE7A" ns2:textId="77777777" w:rsidR="005150BE" w:rsidRDefault="00000000">
      <w:pPr>
        <w:pStyle w:val="Heading1"/>
        <w:spacing w:after="50"/>
      </w:pPr>
      <w:r>
        <w:t>3. Results</w:t>
      </w:r>
    </w:p>
    <w:p ns2:paraId="0E5CEAB4" ns2:textId="77777777" w:rsidR="005150BE" w:rsidRDefault="00000000">
      <w:pPr>
        <w:pStyle w:val="Heading2"/>
      </w:pPr>
      <w:r>
        <w:t>3.1 A COMAVI call scores the same substitution in the isolated subunit and in the assembly</w:t>
      </w:r>
    </w:p>
    <w:p ns2:paraId="1DA4C2F3" ns2:textId="1B3E4EE1" w:rsidR="005150BE" w:rsidRDefault="00000000">
      <w:r>
        <w:rPr>
          <w:rFonts w:ascii="Arial" w:eastAsia="Arial" w:hAnsi="Arial"/>
        </w:rPr>
        <w:t xml:space="preserve">Before any benchmark result can be read, it must be clear what a single COMAVI call contains. COMAVI evaluates the isolated subunit and, when an assembly is available, the assembled complex, then separates predicted changes in subunit stability from changes in partner interaction. Scoring the same substitution in both contexts is what allows a predicted folding problem to be distinguished from a predicted binding problem rather than reported as one undifferentiated effect. The priority score ranks candidates, whereas the mechanism profile retains the signed evidence needed to choose an experiment. Because the three energy changes are evaluated separately, one variant can support more than one structural hypothesis. Several quantities derived from these calls are reported below and are easy to conflate; Table 3 defines each </w:t>
      </w:r>
      <w:r w:rsidR="00BA0E61">
        <w:rPr>
          <w:rFonts w:ascii="Arial" w:eastAsia="Arial" w:hAnsi="Arial"/>
        </w:rPr>
        <w:t>output</w:t>
      </w:r>
      <w:r>
        <w:rPr>
          <w:rFonts w:ascii="Arial" w:eastAsia="Arial" w:hAnsi="Arial"/>
        </w:rPr>
        <w:t>, names the population it is computed over, and gives its value at every decision threshold</w:t>
      </w:r>
      <w:r w:rsidR="00BA0E61">
        <w:rPr>
          <w:rFonts w:ascii="Arial" w:eastAsia="Arial" w:hAnsi="Arial"/>
        </w:rPr>
        <w:t>.</w:t>
      </w:r>
    </w:p>
    <w:p ns2:paraId="54D7A9A9" ns2:textId="77777777" w:rsidR="005150BE" w:rsidRPr="007007B1" w:rsidRDefault="00000000">
      <w:pPr>
        <w:rPr>
          <w:rFonts w:ascii="Arial" w:hAnsi="Arial" w:cs="Arial"/>
        </w:rPr>
      </w:pPr>
      <w:commentRangeStart w:id="14"/>
      <w:r w:rsidRPr="007007B1">
        <w:rPr>
          <w:rFonts w:ascii="Arial" w:hAnsi="Arial" w:cs="Arial"/>
        </w:rPr>
        <w:t>Two variants in the cohort show what scoring both contexts buys, because in each the two contexts disagree. CFH R78G illustrates a binding-specific result: its predicted isolated-subunit change was modest (0.93 kcal/mol), whereas predicted binding disruption was 6.12 kcal/mol, consistent with an increase in the measured dissociation constant from approximately 12 μM to more than 35 μM [46]. VWF R1334Q shows the value of evaluating the assembled complex. Its isolated-subunit prediction was nearly neutral (0.01 kcal/mol), but assembled-complex stability and binding changed by 4.73 and 4.11 kcal/mol [47]. The profile therefore proposes a combined assembly-and-binding lesion rather than an isolated-fold lesion.</w:t>
      </w:r>
      <w:r w:rsidRPr="007007B1">
        <w:rPr>
          <w:rFonts w:ascii="Arial" w:hAnsi="Arial" w:cs="Arial"/>
        </w:rPr>
      </w:r>
    </w:p>
    <w:p ns2:paraId="709499E0" ns2:textId="77777777" w:rsidR="005150BE" w:rsidRPr="007007B1" w:rsidRDefault="00000000">
      <w:pPr>
        <w:rPr>
          <w:rFonts w:ascii="Arial" w:hAnsi="Arial" w:cs="Arial"/>
        </w:rPr>
      </w:pPr>
      <w:r w:rsidRPr="007007B1">
        <w:rPr>
          <w:rFonts w:ascii="Arial" w:hAnsi="Arial" w:cs="Arial"/>
        </w:rP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S1 Table (model_scope sheet) is what separates the two situations, and it is applied before scoring rather than after.</w:t>
      </w:r>
      <w:commentRangeEnd w:id="14"/>
      <w:r w:rsidR="00BA0E61" w:rsidRPr="007007B1">
        <w:rPr>
          <w:rStyle w:val="CommentReference"/>
          <w:rFonts w:ascii="Arial" w:hAnsi="Arial" w:cs="Arial"/>
          <w:sz w:val="21"/>
          <w:szCs w:val="22"/>
        </w:rPr>
        <w:commentReference w:id="14"/>
      </w:r>
    </w:p>
    <w:p ns2:paraId="0FE00C48" ns2:textId="77777777" w:rsidR="005150BE" w:rsidRDefault="00000000">
      <w:pPr>
        <w:pStyle w:val="Caption"/>
        <w:rPr>
          <w:rFonts w:ascii="Arial" w:hAnsi="Arial" w:cs="Arial"/>
        </w:rPr>
      </w:pPr>
      <w:r w:rsidRPr="000B1FC7">
        <w:rPr>
          <w:rFonts w:ascii="Arial" w:hAnsi="Arial" w:cs="Arial"/>
        </w:rPr>
        <w:t>Table 3. Every reported metric, its population, and its value at each decision threshold.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9"/>
        <w:gridCol w:w="1249"/>
        <w:gridCol w:w="1249"/>
        <w:gridCol w:w="1249"/>
        <w:gridCol w:w="1249"/>
        <w:gridCol w:w="1249"/>
        <w:gridCol w:w="1249"/>
        <w:gridCol w:w="1249"/>
      </w:tblGrid>
      <w:tr>
        <w:tc>
          <w:tcPr>
            <w:tcW w:type="dxa" w:w="1249"/>
          </w:tcPr>
          <w:p>
            <w:pPr>
              <w:spacing w:line="240" w:lineRule="auto"/>
            </w:pPr>
            <w:r/>
            <w:r>
              <w:rPr>
                <w:b/>
                <w:sz w:val="17"/>
              </w:rPr>
              <w:t>Name used in this paper</w:t>
            </w:r>
          </w:p>
        </w:tc>
        <w:tc>
          <w:tcPr>
            <w:tcW w:type="dxa" w:w="1249"/>
          </w:tcPr>
          <w:p>
            <w:pPr>
              <w:spacing w:line="240" w:lineRule="auto"/>
            </w:pPr>
            <w:r/>
            <w:r>
              <w:rPr>
                <w:b/>
                <w:sz w:val="17"/>
              </w:rPr>
              <w:t>Population</w:t>
            </w:r>
          </w:p>
        </w:tc>
        <w:tc>
          <w:tcPr>
            <w:tcW w:type="dxa" w:w="1249"/>
          </w:tcPr>
          <w:p>
            <w:pPr>
              <w:spacing w:line="240" w:lineRule="auto"/>
            </w:pPr>
            <w:r/>
            <w:r>
              <w:rPr>
                <w:b/>
                <w:sz w:val="17"/>
              </w:rPr>
              <w:t>What it counts</w:t>
            </w:r>
          </w:p>
        </w:tc>
        <w:tc>
          <w:tcPr>
            <w:tcW w:type="dxa" w:w="1249"/>
          </w:tcPr>
          <w:p>
            <w:pPr>
              <w:spacing w:line="240" w:lineRule="auto"/>
            </w:pPr>
            <w:r/>
            <w:r>
              <w:rPr>
                <w:b/>
                <w:sz w:val="17"/>
              </w:rPr>
              <w:t>1.0</w:t>
            </w:r>
          </w:p>
        </w:tc>
        <w:tc>
          <w:tcPr>
            <w:tcW w:type="dxa" w:w="1249"/>
          </w:tcPr>
          <w:p>
            <w:pPr>
              <w:spacing w:line="240" w:lineRule="auto"/>
            </w:pPr>
            <w:r/>
            <w:r>
              <w:rPr>
                <w:b/>
                <w:sz w:val="17"/>
              </w:rPr>
              <w:t>1.5</w:t>
            </w:r>
          </w:p>
        </w:tc>
        <w:tc>
          <w:tcPr>
            <w:tcW w:type="dxa" w:w="1249"/>
          </w:tcPr>
          <w:p>
            <w:pPr>
              <w:spacing w:line="240" w:lineRule="auto"/>
            </w:pPr>
            <w:r/>
            <w:r>
              <w:rPr>
                <w:b/>
                <w:sz w:val="17"/>
              </w:rPr>
              <w:t>2.0</w:t>
            </w:r>
          </w:p>
        </w:tc>
        <w:tc>
          <w:tcPr>
            <w:tcW w:type="dxa" w:w="1249"/>
          </w:tcPr>
          <w:p>
            <w:pPr>
              <w:spacing w:line="240" w:lineRule="auto"/>
            </w:pPr>
            <w:r/>
            <w:r>
              <w:rPr>
                <w:b/>
                <w:sz w:val="17"/>
              </w:rPr>
              <w:t>2.5</w:t>
            </w:r>
          </w:p>
        </w:tc>
        <w:tc>
          <w:tcPr>
            <w:tcW w:type="dxa" w:w="1249"/>
          </w:tcPr>
          <w:p>
            <w:pPr>
              <w:spacing w:line="240" w:lineRule="auto"/>
            </w:pPr>
            <w:r/>
            <w:r>
              <w:rPr>
                <w:b/>
                <w:sz w:val="17"/>
              </w:rPr>
              <w:t>2.9/2.9/3.5</w:t>
            </w:r>
          </w:p>
        </w:tc>
      </w:tr>
      <w:tr>
        <w:tc>
          <w:tcPr>
            <w:tcW w:type="dxa" w:w="1249"/>
          </w:tcPr>
          <w:p>
            <w:pPr>
              <w:spacing w:line="240" w:lineRule="auto"/>
            </w:pPr>
            <w:r/>
            <w:r>
              <w:rPr>
                <w:sz w:val="17"/>
              </w:rPr>
              <w:t>Mechanism-pattern score (pooled)</w:t>
            </w:r>
          </w:p>
        </w:tc>
        <w:tc>
          <w:tcPr>
            <w:tcW w:type="dxa" w:w="1249"/>
          </w:tcPr>
          <w:p>
            <w:pPr>
              <w:spacing w:line="240" w:lineRule="auto"/>
            </w:pPr>
            <w:r/>
            <w:r>
              <w:rPr>
                <w:sz w:val="17"/>
              </w:rPr>
              <w:t>57 graded variants</w:t>
            </w:r>
          </w:p>
        </w:tc>
        <w:tc>
          <w:tcPr>
            <w:tcW w:type="dxa" w:w="1249"/>
          </w:tcPr>
          <w:p>
            <w:pPr>
              <w:spacing w:line="240" w:lineRule="auto"/>
            </w:pPr>
            <w:r/>
            <w:r>
              <w:rPr>
                <w:sz w:val="17"/>
              </w:rPr>
              <w:t>Partial-credit rubric grade averaged over every graded variant, both classes</w:t>
            </w:r>
          </w:p>
        </w:tc>
        <w:tc>
          <w:tcPr>
            <w:tcW w:type="dxa" w:w="1249"/>
          </w:tcPr>
          <w:p>
            <w:pPr>
              <w:spacing w:line="240" w:lineRule="auto"/>
            </w:pPr>
            <w:r/>
            <w:r>
              <w:rPr>
                <w:sz w:val="17"/>
              </w:rPr>
              <w:t>0.579</w:t>
            </w:r>
          </w:p>
        </w:tc>
        <w:tc>
          <w:tcPr>
            <w:tcW w:type="dxa" w:w="1249"/>
          </w:tcPr>
          <w:p>
            <w:pPr>
              <w:spacing w:line="240" w:lineRule="auto"/>
            </w:pPr>
            <w:r/>
            <w:r>
              <w:rPr>
                <w:sz w:val="17"/>
              </w:rPr>
              <w:t>0.649</w:t>
            </w:r>
          </w:p>
        </w:tc>
        <w:tc>
          <w:tcPr>
            <w:tcW w:type="dxa" w:w="1249"/>
          </w:tcPr>
          <w:p>
            <w:pPr>
              <w:spacing w:line="240" w:lineRule="auto"/>
            </w:pPr>
            <w:r/>
            <w:r>
              <w:rPr>
                <w:sz w:val="17"/>
              </w:rPr>
              <w:t>0.684</w:t>
            </w:r>
          </w:p>
        </w:tc>
        <w:tc>
          <w:tcPr>
            <w:tcW w:type="dxa" w:w="1249"/>
          </w:tcPr>
          <w:p>
            <w:pPr>
              <w:spacing w:line="240" w:lineRule="auto"/>
            </w:pPr>
            <w:r/>
            <w:r>
              <w:rPr>
                <w:sz w:val="17"/>
              </w:rPr>
              <w:t>0.719</w:t>
            </w:r>
          </w:p>
        </w:tc>
        <w:tc>
          <w:tcPr>
            <w:tcW w:type="dxa" w:w="1249"/>
          </w:tcPr>
          <w:p>
            <w:pPr>
              <w:spacing w:line="240" w:lineRule="auto"/>
            </w:pPr>
            <w:r/>
            <w:r>
              <w:rPr>
                <w:sz w:val="17"/>
              </w:rPr>
              <w:t>0.711</w:t>
            </w:r>
          </w:p>
        </w:tc>
      </w:tr>
      <w:tr>
        <w:tc>
          <w:tcPr>
            <w:tcW w:type="dxa" w:w="1249"/>
          </w:tcPr>
          <w:p>
            <w:pPr>
              <w:spacing w:line="240" w:lineRule="auto"/>
            </w:pPr>
            <w:r/>
            <w:r>
              <w:rPr>
                <w:sz w:val="17"/>
              </w:rPr>
              <w:t>Structural arm</w:t>
            </w:r>
          </w:p>
        </w:tc>
        <w:tc>
          <w:tcPr>
            <w:tcW w:type="dxa" w:w="1249"/>
          </w:tcPr>
          <w:p>
            <w:pPr>
              <w:spacing w:line="240" w:lineRule="auto"/>
            </w:pPr>
            <w:r/>
            <w:r>
              <w:rPr>
                <w:sz w:val="17"/>
              </w:rPr>
              <w:t>25 with a committed structural mechanism</w:t>
            </w:r>
          </w:p>
        </w:tc>
        <w:tc>
          <w:tcPr>
            <w:tcW w:type="dxa" w:w="1249"/>
          </w:tcPr>
          <w:p>
            <w:pPr>
              <w:spacing w:line="240" w:lineRule="auto"/>
            </w:pPr>
            <w:r/>
            <w:r>
              <w:rPr>
                <w:sz w:val="17"/>
              </w:rPr>
              <w:t>The same rubric restricted to variants expected to carry a lesion</w:t>
            </w:r>
          </w:p>
        </w:tc>
        <w:tc>
          <w:tcPr>
            <w:tcW w:type="dxa" w:w="1249"/>
          </w:tcPr>
          <w:p>
            <w:pPr>
              <w:spacing w:line="240" w:lineRule="auto"/>
            </w:pPr>
            <w:r/>
            <w:r>
              <w:rPr>
                <w:sz w:val="17"/>
              </w:rPr>
              <w:t>0.760</w:t>
            </w:r>
          </w:p>
        </w:tc>
        <w:tc>
          <w:tcPr>
            <w:tcW w:type="dxa" w:w="1249"/>
          </w:tcPr>
          <w:p>
            <w:pPr>
              <w:spacing w:line="240" w:lineRule="auto"/>
            </w:pPr>
            <w:r/>
            <w:r>
              <w:rPr>
                <w:sz w:val="17"/>
              </w:rPr>
              <w:t>0.720</w:t>
            </w:r>
          </w:p>
        </w:tc>
        <w:tc>
          <w:tcPr>
            <w:tcW w:type="dxa" w:w="1249"/>
          </w:tcPr>
          <w:p>
            <w:pPr>
              <w:spacing w:line="240" w:lineRule="auto"/>
            </w:pPr>
            <w:r/>
            <w:r>
              <w:rPr>
                <w:sz w:val="17"/>
              </w:rPr>
              <w:t>0.640</w:t>
            </w:r>
          </w:p>
        </w:tc>
        <w:tc>
          <w:tcPr>
            <w:tcW w:type="dxa" w:w="1249"/>
          </w:tcPr>
          <w:p>
            <w:pPr>
              <w:spacing w:line="240" w:lineRule="auto"/>
            </w:pPr>
            <w:r/>
            <w:r>
              <w:rPr>
                <w:sz w:val="17"/>
              </w:rPr>
              <w:t>0.600</w:t>
            </w:r>
          </w:p>
        </w:tc>
        <w:tc>
          <w:tcPr>
            <w:tcW w:type="dxa" w:w="1249"/>
          </w:tcPr>
          <w:p>
            <w:pPr>
              <w:spacing w:line="240" w:lineRule="auto"/>
            </w:pPr>
            <w:r/>
            <w:r>
              <w:rPr>
                <w:sz w:val="17"/>
              </w:rPr>
              <w:t>0.540</w:t>
            </w:r>
          </w:p>
        </w:tc>
      </w:tr>
      <w:tr>
        <w:tc>
          <w:tcPr>
            <w:tcW w:type="dxa" w:w="1249"/>
          </w:tcPr>
          <w:p>
            <w:pPr>
              <w:spacing w:line="240" w:lineRule="auto"/>
            </w:pPr>
            <w:r/>
            <w:r>
              <w:rPr>
                <w:sz w:val="17"/>
              </w:rPr>
              <w:t>Rejection arm</w:t>
            </w:r>
          </w:p>
        </w:tc>
        <w:tc>
          <w:tcPr>
            <w:tcW w:type="dxa" w:w="1249"/>
          </w:tcPr>
          <w:p>
            <w:pPr>
              <w:spacing w:line="240" w:lineRule="auto"/>
            </w:pPr>
            <w:r/>
            <w:r>
              <w:rPr>
                <w:sz w:val="17"/>
              </w:rPr>
              <w:t>32 curated to carry no lesion on the modeled axes</w:t>
            </w:r>
          </w:p>
        </w:tc>
        <w:tc>
          <w:tcPr>
            <w:tcW w:type="dxa" w:w="1249"/>
          </w:tcPr>
          <w:p>
            <w:pPr>
              <w:spacing w:line="240" w:lineRule="auto"/>
            </w:pPr>
            <w:r/>
            <w:r>
              <w:rPr>
                <w:sz w:val="17"/>
              </w:rPr>
              <w:t>The same rubric restricted to variants expected to be silent</w:t>
            </w:r>
          </w:p>
        </w:tc>
        <w:tc>
          <w:tcPr>
            <w:tcW w:type="dxa" w:w="1249"/>
          </w:tcPr>
          <w:p>
            <w:pPr>
              <w:spacing w:line="240" w:lineRule="auto"/>
            </w:pPr>
            <w:r/>
            <w:r>
              <w:rPr>
                <w:sz w:val="17"/>
              </w:rPr>
              <w:t>0.438</w:t>
            </w:r>
          </w:p>
        </w:tc>
        <w:tc>
          <w:tcPr>
            <w:tcW w:type="dxa" w:w="1249"/>
          </w:tcPr>
          <w:p>
            <w:pPr>
              <w:spacing w:line="240" w:lineRule="auto"/>
            </w:pPr>
            <w:r/>
            <w:r>
              <w:rPr>
                <w:sz w:val="17"/>
              </w:rPr>
              <w:t>0.594</w:t>
            </w:r>
          </w:p>
        </w:tc>
        <w:tc>
          <w:tcPr>
            <w:tcW w:type="dxa" w:w="1249"/>
          </w:tcPr>
          <w:p>
            <w:pPr>
              <w:spacing w:line="240" w:lineRule="auto"/>
            </w:pPr>
            <w:r/>
            <w:r>
              <w:rPr>
                <w:sz w:val="17"/>
              </w:rPr>
              <w:t>0.719</w:t>
            </w:r>
          </w:p>
        </w:tc>
        <w:tc>
          <w:tcPr>
            <w:tcW w:type="dxa" w:w="1249"/>
          </w:tcPr>
          <w:p>
            <w:pPr>
              <w:spacing w:line="240" w:lineRule="auto"/>
            </w:pPr>
            <w:r/>
            <w:r>
              <w:rPr>
                <w:sz w:val="17"/>
              </w:rPr>
              <w:t>0.812</w:t>
            </w:r>
          </w:p>
        </w:tc>
        <w:tc>
          <w:tcPr>
            <w:tcW w:type="dxa" w:w="1249"/>
          </w:tcPr>
          <w:p>
            <w:pPr>
              <w:spacing w:line="240" w:lineRule="auto"/>
            </w:pPr>
            <w:r/>
            <w:r>
              <w:rPr>
                <w:sz w:val="17"/>
              </w:rPr>
              <w:t>0.844</w:t>
            </w:r>
          </w:p>
        </w:tc>
      </w:tr>
      <w:tr>
        <w:tc>
          <w:tcPr>
            <w:tcW w:type="dxa" w:w="1249"/>
          </w:tcPr>
          <w:p>
            <w:pPr>
              <w:spacing w:line="240" w:lineRule="auto"/>
            </w:pPr>
            <w:r/>
            <w:r>
              <w:rPr>
                <w:sz w:val="17"/>
              </w:rPr>
              <w:t>Detection</w:t>
            </w:r>
          </w:p>
        </w:tc>
        <w:tc>
          <w:tcPr>
            <w:tcW w:type="dxa" w:w="1249"/>
          </w:tcPr>
          <w:p>
            <w:pPr>
              <w:spacing w:line="240" w:lineRule="auto"/>
            </w:pPr>
            <w:r/>
            <w:r>
              <w:rPr>
                <w:sz w:val="17"/>
              </w:rPr>
              <w:t>25 with a committed structural mechanism</w:t>
            </w:r>
          </w:p>
        </w:tc>
        <w:tc>
          <w:tcPr>
            <w:tcW w:type="dxa" w:w="1249"/>
          </w:tcPr>
          <w:p>
            <w:pPr>
              <w:spacing w:line="240" w:lineRule="auto"/>
            </w:pPr>
            <w:r/>
            <w:r>
              <w:rPr>
                <w:sz w:val="17"/>
              </w:rPr>
              <w:t>Fraction for which at least one of the three axes exceeds the threshold, regardless of which</w:t>
            </w:r>
          </w:p>
        </w:tc>
        <w:tc>
          <w:tcPr>
            <w:tcW w:type="dxa" w:w="1249"/>
          </w:tcPr>
          <w:p>
            <w:pPr>
              <w:spacing w:line="240" w:lineRule="auto"/>
            </w:pPr>
            <w:r/>
            <w:r>
              <w:rPr>
                <w:sz w:val="17"/>
              </w:rPr>
              <w:t>0.920</w:t>
            </w:r>
          </w:p>
        </w:tc>
        <w:tc>
          <w:tcPr>
            <w:tcW w:type="dxa" w:w="1249"/>
          </w:tcPr>
          <w:p>
            <w:pPr>
              <w:spacing w:line="240" w:lineRule="auto"/>
            </w:pPr>
            <w:r/>
            <w:r>
              <w:rPr>
                <w:sz w:val="17"/>
              </w:rPr>
              <w:t>0.800</w:t>
            </w:r>
          </w:p>
        </w:tc>
        <w:tc>
          <w:tcPr>
            <w:tcW w:type="dxa" w:w="1249"/>
          </w:tcPr>
          <w:p>
            <w:pPr>
              <w:spacing w:line="240" w:lineRule="auto"/>
            </w:pPr>
            <w:r/>
            <w:r>
              <w:rPr>
                <w:sz w:val="17"/>
              </w:rPr>
              <w:t>0.800</w:t>
            </w:r>
          </w:p>
        </w:tc>
        <w:tc>
          <w:tcPr>
            <w:tcW w:type="dxa" w:w="1249"/>
          </w:tcPr>
          <w:p>
            <w:pPr>
              <w:spacing w:line="240" w:lineRule="auto"/>
            </w:pPr>
            <w:r/>
            <w:r>
              <w:rPr>
                <w:sz w:val="17"/>
              </w:rPr>
              <w:t>0.800</w:t>
            </w:r>
          </w:p>
        </w:tc>
        <w:tc>
          <w:tcPr>
            <w:tcW w:type="dxa" w:w="1249"/>
          </w:tcPr>
          <w:p>
            <w:pPr>
              <w:spacing w:line="240" w:lineRule="auto"/>
            </w:pPr>
            <w:r/>
            <w:r>
              <w:rPr>
                <w:sz w:val="17"/>
              </w:rPr>
              <w:t>0.720</w:t>
            </w:r>
          </w:p>
        </w:tc>
      </w:tr>
      <w:tr>
        <w:tc>
          <w:tcPr>
            <w:tcW w:type="dxa" w:w="1249"/>
          </w:tcPr>
          <w:p>
            <w:pPr>
              <w:spacing w:line="240" w:lineRule="auto"/>
            </w:pPr>
            <w:r/>
            <w:r>
              <w:rPr>
                <w:sz w:val="17"/>
              </w:rPr>
              <w:t>Attribution</w:t>
            </w:r>
          </w:p>
        </w:tc>
        <w:tc>
          <w:tcPr>
            <w:tcW w:type="dxa" w:w="1249"/>
          </w:tcPr>
          <w:p>
            <w:pPr>
              <w:spacing w:line="240" w:lineRule="auto"/>
            </w:pPr>
            <w:r/>
            <w:r>
              <w:rPr>
                <w:sz w:val="17"/>
              </w:rPr>
              <w:t>25 with a committed structural mechanism</w:t>
            </w:r>
          </w:p>
        </w:tc>
        <w:tc>
          <w:tcPr>
            <w:tcW w:type="dxa" w:w="1249"/>
          </w:tcPr>
          <w:p>
            <w:pPr>
              <w:spacing w:line="240" w:lineRule="auto"/>
            </w:pPr>
            <w:r/>
            <w:r>
              <w:rPr>
                <w:sz w:val="17"/>
              </w:rPr>
              <w:t>Fraction for which the axis the literature attributes the mechanism to exceeds the threshold</w:t>
            </w:r>
          </w:p>
        </w:tc>
        <w:tc>
          <w:tcPr>
            <w:tcW w:type="dxa" w:w="1249"/>
          </w:tcPr>
          <w:p>
            <w:pPr>
              <w:spacing w:line="240" w:lineRule="auto"/>
            </w:pPr>
            <w:r/>
            <w:r>
              <w:rPr>
                <w:sz w:val="17"/>
              </w:rPr>
              <w:t>0.760</w:t>
            </w:r>
          </w:p>
        </w:tc>
        <w:tc>
          <w:tcPr>
            <w:tcW w:type="dxa" w:w="1249"/>
          </w:tcPr>
          <w:p>
            <w:pPr>
              <w:spacing w:line="240" w:lineRule="auto"/>
            </w:pPr>
            <w:r/>
            <w:r>
              <w:rPr>
                <w:sz w:val="17"/>
              </w:rPr>
              <w:t>0.680</w:t>
            </w:r>
          </w:p>
        </w:tc>
        <w:tc>
          <w:tcPr>
            <w:tcW w:type="dxa" w:w="1249"/>
          </w:tcPr>
          <w:p>
            <w:pPr>
              <w:spacing w:line="240" w:lineRule="auto"/>
            </w:pPr>
            <w:r/>
            <w:r>
              <w:rPr>
                <w:sz w:val="17"/>
              </w:rPr>
              <w:t>0.640</w:t>
            </w:r>
          </w:p>
        </w:tc>
        <w:tc>
          <w:tcPr>
            <w:tcW w:type="dxa" w:w="1249"/>
          </w:tcPr>
          <w:p>
            <w:pPr>
              <w:spacing w:line="240" w:lineRule="auto"/>
            </w:pPr>
            <w:r/>
            <w:r>
              <w:rPr>
                <w:sz w:val="17"/>
              </w:rPr>
              <w:t>0.560</w:t>
            </w:r>
          </w:p>
        </w:tc>
        <w:tc>
          <w:tcPr>
            <w:tcW w:type="dxa" w:w="1249"/>
          </w:tcPr>
          <w:p>
            <w:pPr>
              <w:spacing w:line="240" w:lineRule="auto"/>
            </w:pPr>
            <w:r/>
            <w:r>
              <w:rPr>
                <w:sz w:val="17"/>
              </w:rPr>
              <w:t>0.480</w:t>
            </w:r>
          </w:p>
        </w:tc>
      </w:tr>
      <w:tr>
        <w:tc>
          <w:tcPr>
            <w:tcW w:type="dxa" w:w="1249"/>
          </w:tcPr>
          <w:p>
            <w:pPr>
              <w:spacing w:line="240" w:lineRule="auto"/>
            </w:pPr>
            <w:r/>
            <w:r>
              <w:rPr>
                <w:sz w:val="17"/>
              </w:rPr>
              <w:t>Measured destabilizations called</w:t>
            </w:r>
          </w:p>
        </w:tc>
        <w:tc>
          <w:tcPr>
            <w:tcW w:type="dxa" w:w="1249"/>
          </w:tcPr>
          <w:p>
            <w:pPr>
              <w:spacing w:line="240" w:lineRule="auto"/>
            </w:pPr>
            <w:r/>
            <w:r>
              <w:rPr>
                <w:sz w:val="17"/>
              </w:rPr>
              <w:t>44 variant-axis comparisons with a directly measured energy</w:t>
            </w:r>
          </w:p>
        </w:tc>
        <w:tc>
          <w:tcPr>
            <w:tcW w:type="dxa" w:w="1249"/>
          </w:tcPr>
          <w:p>
            <w:pPr>
              <w:spacing w:line="240" w:lineRule="auto"/>
            </w:pPr>
            <w:r/>
            <w:r>
              <w:rPr>
                <w:sz w:val="17"/>
              </w:rPr>
              <w:t>Fraction of measured destabilizing effects that FoldX also calls at the threshold</w:t>
            </w:r>
          </w:p>
        </w:tc>
        <w:tc>
          <w:tcPr>
            <w:tcW w:type="dxa" w:w="1249"/>
          </w:tcPr>
          <w:p>
            <w:pPr>
              <w:spacing w:line="240" w:lineRule="auto"/>
            </w:pPr>
            <w:r/>
            <w:r>
              <w:rPr>
                <w:sz w:val="17"/>
              </w:rPr>
              <w:t>0.795</w:t>
            </w:r>
          </w:p>
        </w:tc>
        <w:tc>
          <w:tcPr>
            <w:tcW w:type="dxa" w:w="1249"/>
          </w:tcPr>
          <w:p>
            <w:pPr>
              <w:spacing w:line="240" w:lineRule="auto"/>
            </w:pPr>
            <w:r/>
            <w:r>
              <w:rPr>
                <w:sz w:val="17"/>
              </w:rPr>
              <w:t>0.591</w:t>
            </w:r>
          </w:p>
        </w:tc>
        <w:tc>
          <w:tcPr>
            <w:tcW w:type="dxa" w:w="1249"/>
          </w:tcPr>
          <w:p>
            <w:pPr>
              <w:spacing w:line="240" w:lineRule="auto"/>
            </w:pPr>
            <w:r/>
            <w:r>
              <w:rPr>
                <w:sz w:val="17"/>
              </w:rPr>
              <w:t>0.432</w:t>
            </w:r>
          </w:p>
        </w:tc>
        <w:tc>
          <w:tcPr>
            <w:tcW w:type="dxa" w:w="1249"/>
          </w:tcPr>
          <w:p>
            <w:pPr>
              <w:spacing w:line="240" w:lineRule="auto"/>
            </w:pPr>
            <w:r/>
            <w:r>
              <w:rPr>
                <w:sz w:val="17"/>
              </w:rPr>
              <w:t>0.295</w:t>
            </w:r>
          </w:p>
        </w:tc>
        <w:tc>
          <w:tcPr>
            <w:tcW w:type="dxa" w:w="1249"/>
          </w:tcPr>
          <w:p>
            <w:pPr>
              <w:spacing w:line="240" w:lineRule="auto"/>
            </w:pPr>
            <w:r/>
            <w:r>
              <w:rPr>
                <w:sz w:val="17"/>
              </w:rPr>
              <w:t>0.273</w:t>
            </w:r>
          </w:p>
        </w:tc>
      </w:tr>
      <w:tr>
        <w:tc>
          <w:tcPr>
            <w:tcW w:type="dxa" w:w="1249"/>
          </w:tcPr>
          <w:p>
            <w:pPr>
              <w:spacing w:line="240" w:lineRule="auto"/>
            </w:pPr>
            <w:r/>
            <w:r>
              <w:rPr>
                <w:sz w:val="17"/>
              </w:rPr>
              <w:t>Structural-prioritization ROC AUC</w:t>
            </w:r>
          </w:p>
        </w:tc>
        <w:tc>
          <w:tcPr>
            <w:tcW w:type="dxa" w:w="1249"/>
          </w:tcPr>
          <w:p>
            <w:pPr>
              <w:spacing w:line="240" w:lineRule="auto"/>
            </w:pPr>
            <w:r/>
            <w:r>
              <w:rPr>
                <w:sz w:val="17"/>
              </w:rPr>
              <w:t>47-variant prioritization subset</w:t>
            </w:r>
          </w:p>
        </w:tc>
        <w:tc>
          <w:tcPr>
            <w:tcW w:type="dxa" w:w="1249"/>
          </w:tcPr>
          <w:p>
            <w:pPr>
              <w:spacing w:line="240" w:lineRule="auto"/>
            </w:pPr>
            <w:r/>
            <w:r>
              <w:rPr>
                <w:sz w:val="17"/>
              </w:rPr>
              <w:t>Probability that a randomly chosen structural-mechanism variant outranks a randomly chosen no-lesion variant</w:t>
            </w:r>
          </w:p>
        </w:tc>
        <w:tc>
          <w:tcPr>
            <w:tcW w:type="dxa" w:w="1249"/>
          </w:tcPr>
          <w:p>
            <w:pPr>
              <w:spacing w:line="240" w:lineRule="auto"/>
            </w:pPr>
            <w:r/>
            <w:r>
              <w:rPr>
                <w:sz w:val="17"/>
              </w:rPr>
              <w:t>0.943</w:t>
            </w:r>
          </w:p>
        </w:tc>
        <w:tc>
          <w:tcPr>
            <w:tcW w:type="dxa" w:w="1249"/>
          </w:tcPr>
          <w:p>
            <w:pPr>
              <w:spacing w:line="240" w:lineRule="auto"/>
            </w:pPr>
            <w:r/>
            <w:r>
              <w:rPr>
                <w:sz w:val="17"/>
              </w:rPr>
              <w:t>0.943</w:t>
            </w:r>
          </w:p>
        </w:tc>
        <w:tc>
          <w:tcPr>
            <w:tcW w:type="dxa" w:w="1249"/>
          </w:tcPr>
          <w:p>
            <w:pPr>
              <w:spacing w:line="240" w:lineRule="auto"/>
            </w:pPr>
            <w:r/>
            <w:r>
              <w:rPr>
                <w:sz w:val="17"/>
              </w:rPr>
              <w:t>0.943</w:t>
            </w:r>
          </w:p>
        </w:tc>
        <w:tc>
          <w:tcPr>
            <w:tcW w:type="dxa" w:w="1249"/>
          </w:tcPr>
          <w:p>
            <w:pPr>
              <w:spacing w:line="240" w:lineRule="auto"/>
            </w:pPr>
            <w:r/>
            <w:r>
              <w:rPr>
                <w:sz w:val="17"/>
              </w:rPr>
              <w:t>0.943</w:t>
            </w:r>
          </w:p>
        </w:tc>
        <w:tc>
          <w:tcPr>
            <w:tcW w:type="dxa" w:w="1249"/>
          </w:tcPr>
          <w:p>
            <w:pPr>
              <w:spacing w:line="240" w:lineRule="auto"/>
            </w:pPr>
            <w:r/>
            <w:r>
              <w:rPr>
                <w:sz w:val="17"/>
              </w:rPr>
              <w:t>0.943</w:t>
            </w:r>
          </w:p>
        </w:tc>
      </w:tr>
    </w:tbl>
    <w:p ns2:paraId="3FB5A7F0" ns2:textId="505A869C" w:rsidR="00423ADE" w:rsidRDefault="00000000">
      <w:r>
        <w:t>Each metric is given across the whole prespecified threshold set rather than at the reference alone; S2 Table (threshold_sweep sheet) adds post hoc points beyond the prespecified range. The structural-prioritization ROC AUC is constant across the row because it is the one metric here that is threshold-free in both of its ingredients: the priority score is a continuous combination of energies and structural context that applies no cut-off, and the positive class is the curated mechanism class from the evidence ledger, not a thresholded call. Detection and attribution ask binary questions of the same 25 variants the structural arm grades, and attribution agrees with it to within 0.040. Measured destabilizations called is computed on a different population entirely - variant-axis pairs carrying a directly measured energy - and answers whether the predictor reproduces a measurement, not whether it recovers a curated mechanism. Reproduction is scored as a pair of threshold crossings rather than as numerical agreement: the 44 comparisons are those whose measured effect is at least 1.0 kcal/mol in absolute value, and a comparison counts as recovered when the predicted energy also reaches the threshold of that row. A prediction that gets the direction and the magnitude class right therefore counts, even if the two numbers differ.</w:t>
      </w:r>
      <w:r/>
    </w:p>
    <w:p ns2:paraId="170AC53A" ns2:textId="77777777" w:rsidR="001A2D1D" w:rsidRDefault="001A2D1D">
      <w:pPr>
        <w:pStyle w:val="Heading2"/>
      </w:pPr>
    </w:p>
    <w:p ns2:paraId="133CFFF7" ns2:textId="77777777" w:rsidR="005150BE" w:rsidRDefault="00000000">
      <w:pPr>
        <w:pStyle w:val="Heading2"/>
      </w:pPr>
      <w:r>
        <w:t>3.2 COMAVI recovers the literature-defined mechanism in most graded variants, and by a clear margin over every trivial strategy</w:t>
      </w:r>
    </w:p>
    <w:p ns2:paraId="26345B8F" ns2:textId="7300EBFC" w:rsidR="005150BE" w:rsidRDefault="00000000">
      <w:r>
        <w:rPr>
          <w:rFonts w:ascii="Arial" w:eastAsia="Arial" w:hAnsi="Arial"/>
        </w:rPr>
        <w:t xml:space="preserve">Each variant carries a mechanism expectation taken from the primary literature rather than from any prediction, so the comparison is against an independently defined answer. At the 2.5 kcal/mol reference threshold, COMAVI recovered the expected combination of structural effects with a mechanism-pattern score of 41.0/57 = 0.719. Across the prespecified threshold set the same score runs 0.579, 0.649, 0.684, 0.719 and 0.711, so the reference is also its maximum on this cohort; Table 3 gives every metric in this paper at all five thresholds. The benchmark is close to balanced by construction, 32 variants curated to carry no lesion on the modeled axes against 25 with a committed structural mechanism, so this aggregate is close to a balanced measure: the unweighted mean of the two arms is 0.706, 0.013 below the weighted score. Both are reported because the cohort is not exactly balanced. To establish what that number is worth, every trivial fixed strategy was graded through the same rubric on the same variants. The strongest is to call every variant structurally silent, which scores 0.561 by taking the curated negatives and missing every mechanism; calling every variant destabilized on both fold subtypes and binding scores 0.386, and shuffling the ground truth gives 0.484 (standard deviation 0.052). COMAVI exceeds the strongest trivial strategy by 0.158. A single aggregate nonetheless averages two capabilities that a reader should see separately. Rubric performance was 0.600 on the 25 variants with a committed structural mechanism and 0.812 on the 32 curated to lack one. Resolving those arms into binary questions: among the 25 committed mechanisms, at least one of the three axes exceeded the reference threshold for 20 (detection, 0.800) and the axis to which the literature attributes the mechanism exceeded it for 14 (attribution, 0.560); among the 32 curated negatives, no axis exceeded it for 26 (correct rejection, 0.812). Binary attribution and the rubric restricted to the same 25 variants agree to within 0.040, so the partial credit the rubric awards is not inflating the structural arm. COMAVI therefore detects structural disruption more reliably than it localizes the </w:t>
      </w:r>
      <w:r>
        <w:rPr>
          <w:rFonts w:ascii="Arial" w:eastAsia="Arial" w:hAnsi="Arial"/>
        </w:rPr>
        <w:lastRenderedPageBreak/>
        <w:t>disrupted axis, and the gap between those two rates is the method's principal current limitation. S2 Text reports the decomposition by expected mechanism class. The interaction and BRCT subsets had similar scores, so neither cohort determined the pooled result. Because the data span 14 clustered systems, 0.719 is benchmark-specific pattern agreement rather than universal accuracy.</w:t>
      </w:r>
    </w:p>
    <w:p ns2:paraId="41A93299" ns2:textId="74C2DA42" w:rsidR="005150BE" w:rsidRDefault="00000000">
      <w:r>
        <w:rPr>
          <w:rFonts w:ascii="Arial" w:eastAsia="Arial" w:hAnsi="Arial"/>
        </w:rPr>
        <w:t>58 of 77 applicable energetic calculations had the expected direction: 19/25 for isolated-subunit stability, 17/22 for stability calculated in the assembled complex, and 22/30 for binding. Fig 2 shows these axis-specific counts alongside the whole-variant partial-credit score. The three rates fall within 0.040 of one another, so the aggregate rests evenly on the three physical axes rather than being carried by any one of them. The per-axis rates identify which calculations contributed, but they do not replace the whole-variant outcome.</w:t>
      </w:r>
      <w:commentRangeStart w:id="16"/>
      <w:r>
        <w:rPr>
          <w:rFonts w:ascii="Arial" w:eastAsia="Arial" w:hAnsi="Arial"/>
        </w:rPr>
      </w:r>
      <w:commentRangeEnd w:id="16"/>
      <w:r w:rsidR="00274581">
        <w:rPr>
          <w:rStyle w:val="CommentReference"/>
          <w:rFonts w:ascii="Arial" w:eastAsia="Arial" w:hAnsi="Arial"/>
          <w:sz w:val="21"/>
          <w:szCs w:val="22"/>
        </w:rPr>
      </w:r>
      <w:r>
        <w:rPr>
          <w:rFonts w:ascii="Arial" w:eastAsia="Arial" w:hAnsi="Arial"/>
        </w:rPr>
      </w:r>
    </w:p>
    <w:p ns2:paraId="1306F386" ns2:textId="77777777" w:rsidR="005150BE" w:rsidRDefault="00000000">
      <w:pPr>
        <w:keepNext/>
        <w:spacing w:before="80" w:after="20"/>
        <w:jc w:val="center"/>
      </w:pPr>
      <w:r>
        <w:rPr>
          <w:noProof/>
        </w:rPr>
        <w:drawing>
          <wp:inline distT="0" distB="0" distL="0" distR="0" ns4:anchorId="0CB85C37" ns4:editId="17B65345">
            <wp:extent cx="6080760" cy="2527900"/>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noChangeAspect="1"/>
            </wp:cNvGraphicFramePr>
            <a:graphic>
              <a:graphicData uri="http://schemas.openxmlformats.org/drawingml/2006/picture">
                <ns6:pic>
                  <ns6:nvPicPr>
                    <ns6:cNvPr id="0" name="image2.png"/>
                    <ns6:cNvPicPr/>
                  </ns6:nvPicPr>
                  <ns6:blipFill>
                    <a:blip r:embed="rId15"/>
                    <a:stretch>
                      <a:fillRect/>
                    </a:stretch>
                  </ns6:blipFill>
                  <ns6:spPr>
                    <a:xfrm>
                      <a:off x="0" y="0"/>
                      <a:ext cx="6080760" cy="2527900"/>
                    </a:xfrm>
                    <a:prstGeom prst="rect">
                      <a:avLst/>
                    </a:prstGeom>
                  </ns6:spPr>
                </ns6:pic>
              </a:graphicData>
            </a:graphic>
          </wp:inline>
        </w:drawing>
      </w:r>
    </w:p>
    <w:p ns2:paraId="0CB90A4A" ns2:textId="77777777" w:rsidR="005150BE" w:rsidRDefault="00000000">
      <w:pPr>
        <w:pStyle w:val="Caption"/>
        <w:keepNext/>
        <w:spacing w:before="60"/>
      </w:pPr>
      <w:commentRangeStart w:id="17"/>
      <w:commentRangeStart w:id="18"/>
      <w:r>
        <w:rPr>
          <w:rFonts w:ascii="Arial" w:eastAsia="Arial" w:hAnsi="Arial"/>
        </w:rPr>
        <w:t>Fig 2. COMAVI recovers literature-defined structural mechanism patterns in the current benchmark. Every value in both panels is at the 2.5 kcal/mol reference threshold; the same quantities across the whole threshold range are in Fig 4 and S2 Table (threshold_sweep sheet). (A) Direction agreement is shown separately for isolated-subunit stability (19/25), stability calculated in the assembled complex (17/22), binding (22/30), all energetic outputs (58/77), and the structural-context tier (34/47). (B) Whole-variant mechanism-pattern scores are shown for all 57 graded variants and for the interaction and BRCT subsets. A score of 1 is fully consistent, 0.5 is partly correct, and 0 is inconsistent; the primary mean is 41.0/57 = 0.719.</w:t>
      </w:r>
      <w:commentRangeEnd w:id="17"/>
      <w:r w:rsidR="00EF5FEA">
        <w:rPr>
          <w:rStyle w:val="CommentReference"/>
          <w:sz w:val="18"/>
          <w:szCs w:val="18"/>
        </w:rPr>
        <w:commentReference w:id="17"/>
      </w:r>
      <w:commentRangeEnd w:id="18"/>
      <w:r w:rsidR="00274581">
        <w:rPr>
          <w:rStyle w:val="CommentReference"/>
          <w:sz w:val="18"/>
          <w:szCs w:val="18"/>
        </w:rPr>
        <w:commentReference w:id="18"/>
      </w:r>
    </w:p>
    <w:p ns2:paraId="31CC6B9C" ns2:textId="77777777" w:rsidR="005150BE" w:rsidRDefault="00000000">
      <w:r>
        <w:rPr>
          <w:rFonts w:ascii="Arial" w:eastAsia="Arial" w:hAnsi="Arial"/>
        </w:rPr>
        <w:t>Evidence-restricted analyses did not change the qualitative conclusion. Among variants for which every committed axis had E1-E3 support, tier sensitivity was 1.000 (95% CI 0.753-1.000) and specificity 0.615 (0.316-0.861) on 13 structural and 13 no-lesion variants (n = 26); the direct-or-coupled subset returned the same values on the same 26 variants. The unrestricted screen on all 47 variants gives sensitivity 1.000 and specificity 0.567, so restricting to the strongest evidence moves specificity by 0.048 and leaves sensitivity unchanged, and the confidence interval on the restricted specificity contains the unrestricted value. Because evidence class was strongly tied to whether an axis was expected to be neutral or destabilizing, these analyses were treated as sensitivity views rather than alternative primary benchmarks (S1 Text). An independent check of the binding axis against measured interaction energies in SKEMPI 2.0 [56], outside the benchmark cohort entirely, recovers the same pattern on 41 interface substitutions in two complexes: Spearman rho = 0.55 (p = 0.0002) against measured interaction energies, with the sign of the effect correct for 30 of 33 destabilizing substitutions. Ranking is therefore reproduced outside this cohort while magnitude is not, which is the same behaviour the benchmark shows. S3 Text and S2 Fig give the per-complex breakdown.</w:t>
      </w:r>
      <w:commentRangeStart w:id="19"/>
      <w:r>
        <w:rPr>
          <w:rFonts w:ascii="Arial" w:eastAsia="Arial" w:hAnsi="Arial"/>
        </w:rPr>
      </w:r>
      <w:r>
        <w:rPr>
          <w:rFonts w:ascii="Arial" w:eastAsia="Arial" w:hAnsi="Arial"/>
        </w:rPr>
      </w:r>
      <w:commentRangeEnd w:id="19"/>
      <w:r w:rsidR="005A3C2F">
        <w:rPr>
          <w:rStyle w:val="CommentReference"/>
          <w:rFonts w:ascii="Arial" w:eastAsia="Arial" w:hAnsi="Arial"/>
          <w:sz w:val="21"/>
          <w:szCs w:val="22"/>
        </w:rPr>
      </w:r>
      <w:commentRangeStart w:id="20"/>
      <w:r>
        <w:rPr>
          <w:rFonts w:ascii="Arial" w:eastAsia="Arial" w:hAnsi="Arial"/>
        </w:rPr>
      </w:r>
      <w:commentRangeEnd w:id="20"/>
      <w:r w:rsidR="005A3C2F">
        <w:rPr>
          <w:rStyle w:val="CommentReference"/>
          <w:sz w:val="21"/>
          <w:szCs w:val="22"/>
        </w:rPr>
      </w:r>
    </w:p>
    <w:p ns2:paraId="0A491864" ns2:textId="77777777" w:rsidR="005150BE" w:rsidRPr="00EF5FEA" w:rsidRDefault="00000000">
      <w:pPr>
        <w:rPr>
          <w:rFonts w:ascii="Arial" w:hAnsi="Arial" w:cs="Arial"/>
        </w:rPr>
      </w:pPr>
      <w:r w:rsidRPr="00EF5FEA">
        <w:rPr>
          <w:rFonts w:ascii="Arial" w:hAnsi="Arial" w:cs="Arial"/>
        </w:rPr>
        <w:t>No single system carried the result. Resampling entire protein systems gave a 95% interval of 0.625-0.821 for the mechanism-pattern score, and leave-one-system-out values ranged from 0.704 to 0.750. Permutation, replicate-noise, and continuity audits are reported in S3 Text and shown in S1 Fig.</w:t>
      </w:r>
    </w:p>
    <w:p ns2:paraId="31396A34" ns2:textId="77777777" w:rsidR="005150BE" w:rsidRDefault="00000000">
      <w:pPr>
        <w:pStyle w:val="Heading2"/>
      </w:pPr>
      <w:r>
        <w:t xml:space="preserve">3.3 </w:t>
      </w:r>
      <w:r w:rsidR="00BD1196">
        <w:t>T</w:t>
      </w:r>
      <w:r>
        <w:t>he priority score concentrates real mechanisms at the top of a ranking</w:t>
      </w:r>
    </w:p>
    <w:p ns2:paraId="02AC1760" ns2:textId="23EE4B30" w:rsidR="005150BE" w:rsidRDefault="00000000">
      <w:r>
        <w:rPr>
          <w:rFonts w:ascii="Arial" w:eastAsia="Arial" w:hAnsi="Arial"/>
        </w:rPr>
        <w:t>A mechanism call that is usually right is only useful if it changes what a laboratory does next, which means prioritizing candidates for follow-up. The priority score builds that ordering from two ingredients that carry different information, and each is worth reading on its own before they are combined.</w:t>
      </w:r>
      <w:r w:rsidR="00F94560">
        <w:rPr>
          <w:rFonts w:ascii="Arial" w:eastAsia="Arial" w:hAnsi="Arial"/>
        </w:rPr>
      </w:r>
      <w:r>
        <w:rPr>
          <w:rFonts w:ascii="Arial" w:eastAsia="Arial" w:hAnsi="Arial"/>
        </w:rPr>
      </w:r>
      <w:commentRangeStart w:id="21"/>
      <w:r>
        <w:rPr>
          <w:rFonts w:ascii="Arial" w:eastAsia="Arial" w:hAnsi="Arial"/>
        </w:rPr>
      </w:r>
      <w:r w:rsidR="003C2F95">
        <w:rPr>
          <w:rFonts w:ascii="Arial" w:eastAsia="Arial" w:hAnsi="Arial"/>
        </w:rPr>
      </w:r>
      <w:r>
        <w:rPr>
          <w:rFonts w:ascii="Arial" w:eastAsia="Arial" w:hAnsi="Arial"/>
        </w:rPr>
      </w:r>
      <w:commentRangeEnd w:id="21"/>
      <w:r w:rsidR="003C2F95">
        <w:rPr>
          <w:rStyle w:val="CommentReference"/>
          <w:sz w:val="21"/>
          <w:szCs w:val="22"/>
        </w:rPr>
      </w:r>
    </w:p>
    <w:p ns2:paraId="1F09601F" ns2:textId="77777777" w:rsidR="005150BE" w:rsidRDefault="00000000">
      <w:r>
        <w:rPr>
          <w:rFonts w:ascii="Arial" w:eastAsia="Arial" w:hAnsi="Arial"/>
        </w:rPr>
        <w:t>The structural-context tier uses no energy at all. It placed all 17 variants with modeled structural mechanisms in Tier 1 or 2, and it also placed 13 of 30 no-lesion variants there. Complete recovery on seventeen variants at a specificity of 0.567 locates the tier on the sensitivity-specificity tradeoff rather than showing it to be strong: a screen this permissive flags nearly half the negatives. Interface status alone was more specific at 0.767 and still recovered 15 of 17, whereas the full tier additionally recovered two structural variants that lie outside any detected interface. What the tier cannot do is identify which energetic process is affected, so it should not override an axis-specific energy prediction. The comparator table and within-system tests are in S1 Table (context_comparators sheet) and S3 Fig.</w:t>
      </w:r>
    </w:p>
    <w:p>
      <w:pPr/>
      <w:r>
        <w:t>The energetic component carries no structural context. Ranked on its own it reached an ROC AUC of 0.857 and placed 15 of 17 structural mechanisms in the top 20, and it then stopped: the same 15 were all it recovered at depth 25. The two it never reaches are HBB N102T and MLH1 Q542L, which it ranks 37th and 33rd of 47, and both are variants the structural-context tier places in its highest group. The context component ranked on its own reached 0.890 and recovered 14 of 17 in the top 20 and 16 by depth 25. Neither component recovers the full set, and they fail on different variants. A descriptive crossing of the two ingredients makes the same point from the other direction. Sorting the 47 variants by whether the energy calls and the tier are positive, no variant with a modeled structural mechanism ever falls in the energy-only or the neither state, at either the 1.0 kcal/mol default or the 2.5 kcal/mol reference: 15 of the 17 are convergent at the reference and the remaining 2 are context-only. The energy-only state instead holds 8 curated no-lesion variants at the default and 3 at the reference and no real mechanism, so energy without supporting structural context is a no-lesion signature in this cohort rather than a mechanism. That is the empirical basis for reading a firing axis together with the tier rather than alone, and for combining them in the priority score. S2 Table (evidence_states sheet) gives the full crossing.</w:t>
      </w:r>
    </w:p>
    <w:p ns2:paraId="45B9391D" ns2:textId="1BF5135E" w:rsidR="005150BE" w:rsidRDefault="00000000">
      <w:r>
        <w:rPr>
          <w:rFonts w:ascii="Arial" w:eastAsia="Arial" w:hAnsi="Arial"/>
        </w:rPr>
        <w:t>Combining the two recovers what neither reaches alone. This analysis used the overlapping set of 47 interaction variants with a committed structural endpoint: 17 structural-mechanism variants and 30 variants curated to lack a lesion on the modeled axes. The fixed priority score is defined in Methods.</w:t>
      </w:r>
      <w:r w:rsidR="0072679F">
        <w:rPr>
          <w:rFonts w:ascii="Arial" w:eastAsia="Arial" w:hAnsi="Arial"/>
        </w:rPr>
      </w:r>
      <w:r>
        <w:rPr>
          <w:rFonts w:ascii="Arial" w:eastAsia="Arial" w:hAnsi="Arial"/>
        </w:rPr>
      </w:r>
    </w:p>
    <w:p ns2:paraId="6DD0F2B0" ns2:textId="4BAD10E3" w:rsidR="005150BE" w:rsidRDefault="00000000">
      <w:r>
        <w:rPr>
          <w:rFonts w:ascii="Arial" w:eastAsia="Arial" w:hAnsi="Arial"/>
        </w:rPr>
        <w:t xml:space="preserve">The priority score placed 16 of 17 structural-mechanism variants in the top 20 and all 17 in the top 25. Across the complete 47-variant ranking, the structural-prioritization receiver operating characteristic area under the curve (ROC AUC) was 0.943 and average precision was 0.818; average precision is sensitive to </w:t>
      </w:r>
      <w:r>
        <w:rPr>
          <w:rFonts w:ascii="Arial" w:eastAsia="Arial" w:hAnsi="Arial"/>
        </w:rPr>
        <w:lastRenderedPageBreak/>
        <w:t xml:space="preserve">how common the positive class is, so it should be read against this cohort's positive rate of 17/47 rather than compared across cohorts. </w:t>
      </w:r>
      <w:r w:rsidR="00663AB1">
        <w:rPr>
          <w:rFonts w:ascii="Arial" w:eastAsia="Arial" w:hAnsi="Arial"/>
        </w:rPr>
        <w:t>T</w:t>
      </w:r>
      <w:r>
        <w:rPr>
          <w:rFonts w:ascii="Arial" w:eastAsia="Arial" w:hAnsi="Arial"/>
        </w:rPr>
        <w:t xml:space="preserve">he </w:t>
      </w:r>
      <w:r w:rsidR="003C2F95">
        <w:rPr>
          <w:rFonts w:ascii="Arial" w:eastAsia="Arial" w:hAnsi="Arial"/>
        </w:rPr>
        <w:t>ROC AUC</w:t>
      </w:r>
      <w:r>
        <w:rPr>
          <w:rFonts w:ascii="Arial" w:eastAsia="Arial" w:hAnsi="Arial"/>
        </w:rPr>
        <w:t xml:space="preserve"> is the probability that a randomly chosen structural-mechanism variant outranks a randomly chosen no-lesion variant, so 0.5 is chance and 1.0 is a perfect separation. </w:t>
      </w:r>
    </w:p>
    <w:p ns2:paraId="03FB2C06" ns2:textId="77777777" w:rsidR="005150BE" w:rsidRDefault="00000000">
      <w:r>
        <w:rPr>
          <w:rFonts w:ascii="Arial" w:eastAsia="Arial" w:hAnsi="Arial"/>
        </w:rPr>
        <w:t>Fig 3 makes the practical consequence visible. Panel A shows how far the two classes separate on the score. Panel B reads the ranking from the top down and asks, at each depth, how many of the 17 structural mechanisms have been encountered: taking the top 10 ranked variants captures 9 of them, the top 20 captures 16, and the top 25 captures all 17. The curve therefore says how deep into the ranking a study would have to go to reach a given share of the real mechanisms. The soft-saturation transformation, component ROC curves, score bands, leave-one-system-out influence, and alternative fixed formulas are reported in S2 Text and S4 Fig.</w:t>
      </w:r>
    </w:p>
    <w:p ns2:paraId="55D48CD0" ns2:textId="77777777" w:rsidR="005150BE" w:rsidRDefault="00000000">
      <w:pPr>
        <w:keepNext/>
        <w:jc w:val="center"/>
      </w:pPr>
      <w:r>
        <w:rPr>
          <w:noProof/>
        </w:rPr>
        <w:drawing>
          <wp:inline distT="0" distB="0" distL="0" distR="0" ns4:anchorId="0204DB0D" ns4:editId="0F5423AB">
            <wp:extent cx="6080760" cy="2274942"/>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noChangeAspect="1"/>
            </wp:cNvGraphicFramePr>
            <a:graphic>
              <a:graphicData uri="http://schemas.openxmlformats.org/drawingml/2006/picture">
                <ns6:pic>
                  <ns6:nvPicPr>
                    <ns6:cNvPr id="0" name="image6.png"/>
                    <ns6:cNvPicPr/>
                  </ns6:nvPicPr>
                  <ns6:blipFill>
                    <a:blip r:embed="rId16"/>
                    <a:stretch>
                      <a:fillRect/>
                    </a:stretch>
                  </ns6:blipFill>
                  <ns6:spPr>
                    <a:xfrm>
                      <a:off x="0" y="0"/>
                      <a:ext cx="6080760" cy="2274942"/>
                    </a:xfrm>
                    <a:prstGeom prst="rect">
                      <a:avLst/>
                    </a:prstGeom>
                  </ns6:spPr>
                </ns6:pic>
              </a:graphicData>
            </a:graphic>
          </wp:inline>
        </w:drawing>
      </w:r>
    </w:p>
    <w:p ns2:paraId="562AEEF6" ns2:textId="543CE165" w:rsidR="005150BE" w:rsidRDefault="00000000">
      <w:pPr>
        <w:pStyle w:val="Caption"/>
        <w:keepNext/>
        <w:spacing w:before="60"/>
      </w:pPr>
      <w:r>
        <w:rPr>
          <w:rFonts w:ascii="Arial" w:eastAsia="Arial" w:hAnsi="Arial"/>
        </w:rPr>
        <w:t xml:space="preserve">Fig 3. The fixed priority score concentrates modeled structural mechanisms near the top of the ranking. (A) Priority-score distributions for the 17 structural-mechanism and 30 no-lesion variants in the 47-variant prioritization subset. (B) Cumulative recovery down the ranking: of the 17 structural mechanisms, 9 fall in the top 10 ranked variants, 16 in the top 20, and all 17 in the top 25. The x axis is rank depth. Panel values are at the 2.5 kcal/mol reference threshold. </w:t>
      </w:r>
    </w:p>
    <w:p ns2:paraId="481E46AF" ns2:textId="77777777" w:rsidR="005150BE" w:rsidRDefault="00000000">
      <w:pPr>
        <w:pStyle w:val="Heading2"/>
      </w:pPr>
      <w:r>
        <w:t>3.4 The ranking does not bury a resolved mechanism, but the cohort is too small to test agreement</w:t>
      </w:r>
    </w:p>
    <w:p ns2:paraId="4C8A6FF4" ns2:textId="77777777" w:rsidR="005150BE" w:rsidRPr="0072679F" w:rsidRDefault="00000000">
      <w:pPr>
        <w:rPr>
          <w:rFonts w:ascii="Arial" w:hAnsi="Arial" w:cs="Arial"/>
        </w:rPr>
      </w:pPr>
      <w:commentRangeStart w:id="22"/>
      <w:r w:rsidRPr="0072679F">
        <w:rPr>
          <w:rFonts w:ascii="Arial" w:hAnsi="Arial" w:cs="Arial"/>
        </w:rPr>
        <w:t>No variant whose mechanism COMAVI resolves falls outside the top 20: every fully consistent grade sits inside the cut. That is the result this crossing was built to test, because a variant ranked highly but graded inconsistent would send a user to the right protein with the wrong experiment. What the crossing cannot establish is how strongly rank and grade track each other, and the reason is itself informative. Of the 17 variants with a modeled structural mechanism, 16 fall inside the top 20 and the one outside ranks 21st, immediately below the cut, so there is almost no population outside the cut to contrast against. The mean rubric grade (Table 2) is 0.594 inside against 0.500 outside, but the latter is a single variant, and the rank-grade association across all 17 is not significant (Spearman rho = 0.356, p = 0.161). The test is underpowered rather than negative, and it is underpowered because the ranking leaves almost nothing outside the cut. Both figures sit below the 0.719 whole-cohort score because they are computed within the structural class alone, where the mean grade is 0.588.</w:t>
      </w:r>
      <w:r w:rsidRPr="0072679F">
        <w:rPr>
          <w:rFonts w:ascii="Arial" w:hAnsi="Arial" w:cs="Arial"/>
        </w:rPr>
      </w:r>
      <w:commentRangeEnd w:id="22"/>
      <w:r w:rsidR="0089515D" w:rsidRPr="0072679F">
        <w:rPr>
          <w:rStyle w:val="CommentReference"/>
          <w:rFonts w:ascii="Arial" w:hAnsi="Arial" w:cs="Arial"/>
          <w:sz w:val="21"/>
          <w:szCs w:val="22"/>
        </w:rPr>
      </w:r>
    </w:p>
    <w:p ns2:paraId="75F5CF4F" ns2:textId="77777777" w:rsidR="005150BE" w:rsidRPr="0072679F" w:rsidRDefault="00000000">
      <w:pPr>
        <w:rPr>
          <w:rFonts w:ascii="Arial" w:hAnsi="Arial" w:cs="Arial"/>
        </w:rPr>
      </w:pPr>
      <w:r w:rsidRPr="0072679F">
        <w:rPr>
          <w:rFonts w:ascii="Arial" w:hAnsi="Arial" w:cs="Arial"/>
        </w:rPr>
        <w:t>Within the top 20 the grades are 5 consistent, 9 partial and 2 inconsistent, and the two inconsistent cases are the failure mode this crossing exists to expose: correctly prioritized, incorrectly explained. MLH1 R755W at rank 11 and PIK3CA E545K at rank 15 fail the same way. FoldX returns a large negative interaction energy for each, -9.7 and -4.6 kcal/mol, which the classifier reads as strengthened binding, so both are called PPI stabilization at the reference threshold. For E545K that is the right axis in the wrong direction: the literature attributes its effect to loss of the nSH2 inhibitory contact, and a rigid-body interaction energy cannot distinguish a tighter contact from the loss of an inhibitory one, because releasing autoinhibition is energetically favorable. For R755W both the axis and the direction are wrong: the measured phenotype is reduced cellular abundance with binding preserved, and the two stability predictions, 0.97 kcal/mol in the isolated subunit and -0.94 in the complex, both fall below the threshold, so no stability lesion is called. The only structural mechanism outside the cut is HBB W37Y at rank 21, and it is graded partial rather than inconsistent, so the ranking and the grading do not fail on disjoint variants. S3 Text reports the full crossing.</w:t>
      </w:r>
      <w:commentRangeStart w:id="23"/>
      <w:r w:rsidRPr="0072679F">
        <w:rPr>
          <w:rFonts w:ascii="Arial" w:hAnsi="Arial" w:cs="Arial"/>
        </w:rPr>
      </w:r>
      <w:commentRangeEnd w:id="23"/>
      <w:r w:rsidR="0089515D" w:rsidRPr="0072679F">
        <w:rPr>
          <w:rStyle w:val="CommentReference"/>
          <w:rFonts w:ascii="Arial" w:hAnsi="Arial" w:cs="Arial"/>
          <w:sz w:val="21"/>
          <w:szCs w:val="22"/>
        </w:rPr>
      </w:r>
      <w:r w:rsidRPr="0072679F">
        <w:rPr>
          <w:rFonts w:ascii="Arial" w:hAnsi="Arial" w:cs="Arial"/>
        </w:rPr>
      </w:r>
    </w:p>
    <w:p ns2:paraId="721F0A93" ns2:textId="77777777" w:rsidR="005150BE" w:rsidRDefault="00000000">
      <w:pPr>
        <w:pStyle w:val="Heading2"/>
      </w:pPr>
      <w:r>
        <w:t>3.5 Stringency is paid for in attribution, not in detection, and the three axes disagree on the best threshold</w:t>
      </w:r>
    </w:p>
    <w:p ns2:paraId="2BE5936D" ns2:textId="787C75A4" w:rsidR="005150BE" w:rsidRDefault="00000000">
      <w:r>
        <w:rPr>
          <w:rFonts w:ascii="Arial" w:eastAsia="Arial" w:hAnsi="Arial"/>
        </w:rPr>
        <w:t>COMAVI's outputs are continuous. A threshold enters only where continuous energies must be converted into the discrete mechanism calls that can be graded against categorical literature labels, so it is an instrument of this evaluation rather than a parameter of the pipeline. Every graded number in Sections 3.2 and 3.4 therefore depends on that single choice. The 2.5 kcal/mol threshold maximizes both the pooled mechanism-pattern score (0.719, against 0.579 at 1.0 kcal/mol and 0.711 at the substitution-adjusted setting) and its prevalence-balanced form, the unweighted mean of the structural and rejection arms, which removes the effect of the cohort holding more curated negatives than committed mechanisms. The substitution-adjusted setting is the most stringent point in the prespecified set; because it is defined per axis it is not a single number, which is why it appears at the right-hand end of every panel in Fig 4 rather than at a position on a continuous scale. Resolved into binary questions, the tradeoff is not the one a recovery-against-rejection plot implies. Detection is almost flat across the working range: at least one axis exceeds the threshold for 23 of the 25 committed mechanisms at 1.0 kcal/mol and for 20 at 1.5, 2.0 and 2.5 alike, falling to 18 only at the substitution-adjusted setting. What falls at every step is attribution: 19 of 25 at 1.0 kcal/mol, then 17, 16, 14 at the reference and 12 at the most conservative point. Correct rejection rises at every step over the same range: 5 of 32, then 19, 23, 26 and 27. Raising the threshold therefore buys rejection almost entirely at the expense of naming the right axis rather than at the expense of noticing a lesion at all, and the graded arms behave accordingly: the structural arm falls from 0.760 to 0.540 while the no-lesion arm rises from 0.438 to 0.844, crossing between 1.5 and 2.0 kcal/mol, above which the pooled score peaks (Fig 4A, Fig 4C). The three axes do not agree on where the optimum lies. Directional agreement on binding is highest at the lowest thresholds (24 of 30 at 1.0 and 1.5 kcal/mol) and falls at every subsequent step to 22 of 30 at the reference, whereas agreement on stability calculated in the complex gains most from stringency, rising from 12 of 22 to 17 of 22, and isolated-subunit agreement peaks at 2.0 to 2.5 kcal/mol (Fig 4B). All four per-axis denominators are constant across the range, so this is a property of the energies and not of changing eligibility. A single global threshold is therefore a compromise set where the two fold axes perform best, and the binding axis gives up 0.067 relative to its own optimum to accommodate them. This is a partial and correctable explanation for the interface shortfall reported in Section 3.2, and it identifies per-axis thresholds as the most promising single change to the calling layer. Table 4 gives the same tradeoff as a menu with a recommended reading for each setting.</w:t>
      </w:r>
      <w:r w:rsidR="0089515D">
        <w:rPr>
          <w:rFonts w:ascii="Arial" w:eastAsia="Arial" w:hAnsi="Arial"/>
        </w:rPr>
      </w:r>
      <w:r>
        <w:rPr>
          <w:rFonts w:ascii="Arial" w:eastAsia="Arial" w:hAnsi="Arial"/>
        </w:rPr>
      </w:r>
      <w:r w:rsidR="0089515D">
        <w:rPr>
          <w:rFonts w:ascii="Arial" w:eastAsia="Arial" w:hAnsi="Arial"/>
        </w:rPr>
      </w:r>
      <w:r>
        <w:rPr>
          <w:rFonts w:ascii="Arial" w:eastAsia="Arial" w:hAnsi="Arial"/>
        </w:rPr>
      </w:r>
      <w:commentRangeStart w:id="24"/>
      <w:r>
        <w:rPr>
          <w:rFonts w:ascii="Arial" w:eastAsia="Arial" w:hAnsi="Arial"/>
        </w:rPr>
      </w:r>
      <w:commentRangeEnd w:id="24"/>
      <w:r w:rsidR="0089515D">
        <w:rPr>
          <w:rStyle w:val="CommentReference"/>
          <w:rFonts w:ascii="Arial" w:eastAsia="Arial" w:hAnsi="Arial"/>
          <w:sz w:val="21"/>
          <w:szCs w:val="22"/>
        </w:rPr>
      </w:r>
      <w:r>
        <w:rPr>
          <w:rFonts w:ascii="Arial" w:eastAsia="Arial" w:hAnsi="Arial"/>
        </w:rPr>
      </w:r>
      <w:r>
        <w:rPr>
          <w:rFonts w:ascii="Arial" w:eastAsia="Arial" w:hAnsi="Arial"/>
        </w:rPr>
      </w:r>
    </w:p>
    <w:p ns2:paraId="21559757" ns2:textId="77777777" w:rsidR="005150BE" w:rsidRDefault="00000000">
      <w:pPr>
        <w:keepNext/>
        <w:spacing w:before="80" w:after="20"/>
        <w:jc w:val="center"/>
      </w:pPr>
      <w:r>
        <w:rPr>
          <w:noProof/>
        </w:rPr>
        <w:lastRenderedPageBreak/>
        <w:drawing>
          <wp:inline distT="0" distB="0" distL="0" distR="0">
            <wp:extent cx="7153275" cy="4347167"/>
            <wp:effectExtent l="0" t="0" r="0" b="0"/>
            <wp:docPr id="21" name="Picture 21"/>
            <a:graphic>
              <a:graphicData uri="http://schemas.openxmlformats.org/drawingml/2006/picture">
                <ns6:pic>
                  <ns6:nvPicPr>
                    <ns6:cNvPr id="0" name="COMAVI_Figure_threshold_sweep.png"/>
                    <ns6:cNvPicPr/>
                  </ns6:nvPicPr>
                  <ns6:blipFill>
                    <a:blip r:embed="rId17"/>
                    <a:stretch>
                      <a:fillRect/>
                    </a:stretch>
                  </ns6:blipFill>
                  <ns6:spPr>
                    <a:xfrm>
                      <a:off x="0" y="0"/>
                      <a:ext cx="7153275" cy="4347167"/>
                    </a:xfrm>
                    <a:prstGeom prst="rect">
                      <a:avLst/>
                    </a:prstGeom>
                  </ns6:spPr>
                </ns6:pic>
              </a:graphicData>
            </a:graphic>
          </wp:inline>
        </w:drawing>
      </w:r>
    </w:p>
    <w:p ns2:paraId="6B9B96CE" ns2:textId="77777777" w:rsidR="005150BE" w:rsidRDefault="00000000">
      <w:pPr>
        <w:pStyle w:val="Caption"/>
        <w:keepNext/>
        <w:spacing w:before="60"/>
      </w:pPr>
      <w:r>
        <w:rPr>
          <w:rFonts w:ascii="Arial" w:eastAsia="Arial" w:hAnsi="Arial"/>
        </w:rPr>
        <w:t>Fig 4. Every graded metric as a function of the decision threshold. COMAVI's outputs are continuous; the threshold converts energies into discrete mechanism calls so they can be graded against categorical literature labels. The dashed line marks the 2.5 kcal/mol reference. (A) Binary resolution over the 25 committed structural mechanisms and 32 curated no-lesion variants: detection is any axis exceeding the threshold, attribution is the axis to which the literature attributes the mechanism exceeding it, and correct rejection is no axis exceeding it. Detection is flat from 1.5 to 2.5 kcal/mol while attribution falls at every step, so stringency is paid for in attribution rather than in detection. (B) Directional agreement for each physical axis separately, with each axis's own optimum ringed; denominators are constant across the range (25 isolated-subunit, 22 in-complex, 30 binding expectations). Binding peaks at the lowest thresholds and the in-complex axis at the reference, so no single global threshold suits all three. (C) The partial-credit mechanism-pattern score, pooled and split into its structural and no-lesion arms, with 95% bootstrap bands resampling all 14 protein systems. The arms cross between 1.5 and 2.0 kcal/mol and the pooled score peaks above that crossing, at the reference; the bands overlap across the upper half of the range. (D) Recovery of 44 independently measured destabilizing effects of at least 1 kcal/mol, which stringency costs faster than any graded quantity. Values above the substitution-adjusted setting are reported in S2 Table (threshold_sweep sheet) and are not part of the prespecified set.</w:t>
      </w:r>
    </w:p>
    <w:p ns2:paraId="4AF55180" ns2:textId="77777777" w:rsidR="005150BE" w:rsidRDefault="00000000">
      <w:pPr>
        <w:pStyle w:val="Caption"/>
        <w:keepNext/>
      </w:pPr>
      <w:r>
        <w:rPr>
          <w:rFonts w:ascii="Arial" w:eastAsia="Arial" w:hAnsi="Arial"/>
        </w:rPr>
        <w:lastRenderedPageBreak/>
        <w:t>Table 4.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rsidR="005150BE" ns2:paraId="657DE957" ns2:textId="77777777">
        <w:trPr>
          <w:cantSplit/>
          <w:tblHeader/>
          <w:jc w:val="center"/>
        </w:trPr>
        <w:tc>
          <w:tcPr>
            <w:tcW w:w="1699" w:type="dxa"/>
            <w:shd w:val="clear" w:color="auto" w:fill="17324D"/>
            <w:tcMar>
              <w:top w:w="60" w:type="dxa"/>
              <w:left w:w="70" w:type="dxa"/>
              <w:bottom w:w="60" w:type="dxa"/>
              <w:right w:w="70" w:type="dxa"/>
            </w:tcMar>
            <w:vAlign w:val="center"/>
          </w:tcPr>
          <w:p ns2:paraId="40446E4C" ns2:textId="77777777" w:rsidR="005150BE" w:rsidRDefault="00000000">
            <w:r>
              <w:rPr>
                <w:sz w:val="15"/>
              </w:rPr>
              <w:t>Energy threshold</w:t>
            </w:r>
          </w:p>
        </w:tc>
        <w:tc>
          <w:tcPr>
            <w:tcW w:w="1325" w:type="dxa"/>
            <w:shd w:val="clear" w:color="auto" w:fill="17324D"/>
            <w:tcMar>
              <w:top w:w="60" w:type="dxa"/>
              <w:left w:w="70" w:type="dxa"/>
              <w:bottom w:w="60" w:type="dxa"/>
              <w:right w:w="70" w:type="dxa"/>
            </w:tcMar>
            <w:vAlign w:val="center"/>
          </w:tcPr>
          <w:p ns2:paraId="1C482870" ns2:textId="77777777" w:rsidR="005150BE" w:rsidRDefault="00000000">
            <w:pPr>
              <w:spacing w:after="0" w:line="240" w:lineRule="auto"/>
            </w:pPr>
            <w:r>
              <w:rPr>
                <w:b/>
                <w:color w:val="FFFFFF"/>
                <w:sz w:val="15"/>
              </w:rPr>
              <w:t>Mechanism-pattern score, structural arm (n = 25)</w:t>
            </w:r>
          </w:p>
        </w:tc>
        <w:tc>
          <w:tcPr>
            <w:tcW w:w="1325" w:type="dxa"/>
            <w:shd w:val="clear" w:color="auto" w:fill="17324D"/>
            <w:tcMar>
              <w:top w:w="60" w:type="dxa"/>
              <w:left w:w="70" w:type="dxa"/>
              <w:bottom w:w="60" w:type="dxa"/>
              <w:right w:w="70" w:type="dxa"/>
            </w:tcMar>
            <w:vAlign w:val="center"/>
          </w:tcPr>
          <w:p ns2:paraId="17440777" ns2:textId="77777777" w:rsidR="005150BE" w:rsidRDefault="00000000">
            <w:pPr>
              <w:spacing w:after="0" w:line="240" w:lineRule="auto"/>
            </w:pPr>
            <w:r>
              <w:rPr>
                <w:b/>
                <w:color w:val="FFFFFF"/>
                <w:sz w:val="15"/>
              </w:rPr>
              <w:t>Mechanism-pattern score, rejection arm (n = 32)</w:t>
            </w:r>
          </w:p>
        </w:tc>
        <w:tc>
          <w:tcPr>
            <w:tcW w:w="1512" w:type="dxa"/>
            <w:shd w:val="clear" w:color="auto" w:fill="17324D"/>
            <w:tcMar>
              <w:top w:w="60" w:type="dxa"/>
              <w:left w:w="70" w:type="dxa"/>
              <w:bottom w:w="60" w:type="dxa"/>
              <w:right w:w="70" w:type="dxa"/>
            </w:tcMar>
            <w:vAlign w:val="center"/>
          </w:tcPr>
          <w:p ns2:paraId="27DF0B3E" ns2:textId="77777777" w:rsidR="005150BE" w:rsidRDefault="00000000">
            <w:pPr>
              <w:spacing w:after="0" w:line="240" w:lineRule="auto"/>
            </w:pPr>
            <w:r>
              <w:rPr>
                <w:b/>
                <w:color w:val="FFFFFF"/>
                <w:sz w:val="15"/>
              </w:rPr>
              <w:t>Measured destabilizations called (n = 44)</w:t>
            </w:r>
          </w:p>
        </w:tc>
        <w:tc>
          <w:tcPr>
            <w:tcW w:w="3528" w:type="dxa"/>
            <w:shd w:val="clear" w:color="auto" w:fill="17324D"/>
            <w:tcMar>
              <w:top w:w="60" w:type="dxa"/>
              <w:left w:w="70" w:type="dxa"/>
              <w:bottom w:w="60" w:type="dxa"/>
              <w:right w:w="70" w:type="dxa"/>
            </w:tcMar>
            <w:vAlign w:val="center"/>
          </w:tcPr>
          <w:p ns2:paraId="32BF070A" ns2:textId="77777777" w:rsidR="005150BE" w:rsidRDefault="00000000">
            <w:pPr>
              <w:spacing w:after="0" w:line="240" w:lineRule="auto"/>
            </w:pPr>
            <w:r>
              <w:rPr>
                <w:b/>
                <w:color w:val="FFFFFF"/>
                <w:sz w:val="15"/>
              </w:rPr>
              <w:t>Recommended interpretation</w:t>
            </w:r>
          </w:p>
        </w:tc>
      </w:tr>
      <w:tr w:rsidR="005150BE" ns2:paraId="3DE2722D" ns2:textId="77777777">
        <w:trPr>
          <w:cantSplit/>
          <w:jc w:val="center"/>
        </w:trPr>
        <w:tc>
          <w:tcPr>
            <w:tcW w:w="1699" w:type="dxa"/>
            <w:tcMar>
              <w:top w:w="60" w:type="dxa"/>
              <w:left w:w="70" w:type="dxa"/>
              <w:bottom w:w="60" w:type="dxa"/>
              <w:right w:w="70" w:type="dxa"/>
            </w:tcMar>
            <w:vAlign w:val="center"/>
          </w:tcPr>
          <w:p ns2:paraId="2A6D9F39" ns2:textId="77777777" w:rsidR="005150BE" w:rsidRDefault="00000000">
            <w:pPr>
              <w:spacing w:after="0" w:line="240" w:lineRule="auto"/>
            </w:pPr>
            <w:r>
              <w:rPr>
                <w:sz w:val="15"/>
              </w:rPr>
              <w:t>1.0 kcal/mol</w:t>
            </w:r>
          </w:p>
        </w:tc>
        <w:tc>
          <w:tcPr>
            <w:tcW w:w="1325" w:type="dxa"/>
            <w:tcMar>
              <w:top w:w="60" w:type="dxa"/>
              <w:left w:w="70" w:type="dxa"/>
              <w:bottom w:w="60" w:type="dxa"/>
              <w:right w:w="70" w:type="dxa"/>
            </w:tcMar>
            <w:vAlign w:val="center"/>
          </w:tcPr>
          <w:p ns2:paraId="4A8227C5" ns2:textId="77777777" w:rsidR="005150BE" w:rsidRDefault="00000000">
            <w:pPr>
              <w:spacing w:after="0" w:line="240" w:lineRule="auto"/>
            </w:pPr>
            <w:r>
              <w:rPr>
                <w:sz w:val="15"/>
              </w:rPr>
              <w:t>0.760</w:t>
            </w:r>
          </w:p>
        </w:tc>
        <w:tc>
          <w:tcPr>
            <w:tcW w:w="1325" w:type="dxa"/>
            <w:tcMar>
              <w:top w:w="60" w:type="dxa"/>
              <w:left w:w="70" w:type="dxa"/>
              <w:bottom w:w="60" w:type="dxa"/>
              <w:right w:w="70" w:type="dxa"/>
            </w:tcMar>
            <w:vAlign w:val="center"/>
          </w:tcPr>
          <w:p ns2:paraId="7E3C9724" ns2:textId="77777777" w:rsidR="005150BE" w:rsidRDefault="00000000">
            <w:pPr>
              <w:spacing w:after="0" w:line="240" w:lineRule="auto"/>
            </w:pPr>
            <w:r>
              <w:rPr>
                <w:sz w:val="15"/>
              </w:rPr>
              <w:t>0.438</w:t>
            </w:r>
          </w:p>
        </w:tc>
        <w:tc>
          <w:tcPr>
            <w:tcW w:w="1512" w:type="dxa"/>
            <w:tcMar>
              <w:top w:w="60" w:type="dxa"/>
              <w:left w:w="70" w:type="dxa"/>
              <w:bottom w:w="60" w:type="dxa"/>
              <w:right w:w="70" w:type="dxa"/>
            </w:tcMar>
            <w:vAlign w:val="center"/>
          </w:tcPr>
          <w:p ns2:paraId="757F3377" ns2:textId="77777777" w:rsidR="005150BE" w:rsidRDefault="00000000">
            <w:pPr>
              <w:spacing w:after="0" w:line="240" w:lineRule="auto"/>
            </w:pPr>
            <w:r>
              <w:rPr>
                <w:sz w:val="15"/>
              </w:rPr>
              <w:t>35/44 = 0.795</w:t>
            </w:r>
          </w:p>
        </w:tc>
        <w:tc>
          <w:tcPr>
            <w:tcW w:w="3528" w:type="dxa"/>
            <w:tcMar>
              <w:top w:w="60" w:type="dxa"/>
              <w:left w:w="70" w:type="dxa"/>
              <w:bottom w:w="60" w:type="dxa"/>
              <w:right w:w="70" w:type="dxa"/>
            </w:tcMar>
            <w:vAlign w:val="center"/>
          </w:tcPr>
          <w:p ns2:paraId="2BE651F2" ns2:textId="77777777" w:rsidR="005150BE" w:rsidRDefault="00000000">
            <w:r>
              <w:rPr>
                <w:sz w:val="15"/>
              </w:rPr>
              <w:t>Screening default; use when missing a mechanism is more costly than extra follow-up.</w:t>
            </w:r>
          </w:p>
        </w:tc>
      </w:tr>
      <w:tr w:rsidR="005150BE" ns2:paraId="775E326E" ns2:textId="77777777">
        <w:trPr>
          <w:cantSplit/>
          <w:jc w:val="center"/>
        </w:trPr>
        <w:tc>
          <w:tcPr>
            <w:tcW w:w="1699" w:type="dxa"/>
            <w:shd w:val="clear" w:color="auto" w:fill="F7F9FB"/>
            <w:tcMar>
              <w:top w:w="60" w:type="dxa"/>
              <w:left w:w="70" w:type="dxa"/>
              <w:bottom w:w="60" w:type="dxa"/>
              <w:right w:w="70" w:type="dxa"/>
            </w:tcMar>
            <w:vAlign w:val="center"/>
          </w:tcPr>
          <w:p ns2:paraId="33430A35" ns2:textId="77777777" w:rsidR="005150BE" w:rsidRDefault="00000000">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ns2:paraId="2DEB4F46" ns2:textId="77777777" w:rsidR="005150BE" w:rsidRDefault="00000000">
            <w:pPr>
              <w:spacing w:after="0" w:line="240" w:lineRule="auto"/>
            </w:pPr>
            <w:r>
              <w:rPr>
                <w:sz w:val="15"/>
              </w:rPr>
              <w:t>0.720</w:t>
            </w:r>
          </w:p>
        </w:tc>
        <w:tc>
          <w:tcPr>
            <w:tcW w:w="1325" w:type="dxa"/>
            <w:shd w:val="clear" w:color="auto" w:fill="F7F9FB"/>
            <w:tcMar>
              <w:top w:w="60" w:type="dxa"/>
              <w:left w:w="70" w:type="dxa"/>
              <w:bottom w:w="60" w:type="dxa"/>
              <w:right w:w="70" w:type="dxa"/>
            </w:tcMar>
            <w:vAlign w:val="center"/>
          </w:tcPr>
          <w:p ns2:paraId="374CF6DD" ns2:textId="77777777" w:rsidR="005150BE" w:rsidRDefault="00000000">
            <w:pPr>
              <w:spacing w:after="0" w:line="240" w:lineRule="auto"/>
            </w:pPr>
            <w:r>
              <w:rPr>
                <w:sz w:val="15"/>
              </w:rPr>
              <w:t>0.594</w:t>
            </w:r>
          </w:p>
        </w:tc>
        <w:tc>
          <w:tcPr>
            <w:tcW w:w="1512" w:type="dxa"/>
            <w:shd w:val="clear" w:color="auto" w:fill="F7F9FB"/>
            <w:tcMar>
              <w:top w:w="60" w:type="dxa"/>
              <w:left w:w="70" w:type="dxa"/>
              <w:bottom w:w="60" w:type="dxa"/>
              <w:right w:w="70" w:type="dxa"/>
            </w:tcMar>
            <w:vAlign w:val="center"/>
          </w:tcPr>
          <w:p ns2:paraId="1EA74C3C" ns2:textId="77777777" w:rsidR="005150BE" w:rsidRDefault="00000000">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ns2:paraId="13246C5F" ns2:textId="77777777" w:rsidR="005150BE" w:rsidRDefault="00000000">
            <w:r>
              <w:rPr>
                <w:sz w:val="15"/>
              </w:rPr>
              <w:t>Lower-intermediate stringency.</w:t>
            </w:r>
          </w:p>
        </w:tc>
      </w:tr>
      <w:tr w:rsidR="005150BE" ns2:paraId="2A7E812F" ns2:textId="77777777">
        <w:trPr>
          <w:cantSplit/>
          <w:jc w:val="center"/>
        </w:trPr>
        <w:tc>
          <w:tcPr>
            <w:tcW w:w="1699" w:type="dxa"/>
            <w:tcMar>
              <w:top w:w="60" w:type="dxa"/>
              <w:left w:w="70" w:type="dxa"/>
              <w:bottom w:w="60" w:type="dxa"/>
              <w:right w:w="70" w:type="dxa"/>
            </w:tcMar>
            <w:vAlign w:val="center"/>
          </w:tcPr>
          <w:p ns2:paraId="73C18F75" ns2:textId="77777777" w:rsidR="005150BE" w:rsidRDefault="00000000">
            <w:pPr>
              <w:spacing w:after="0" w:line="240" w:lineRule="auto"/>
            </w:pPr>
            <w:r>
              <w:rPr>
                <w:sz w:val="15"/>
              </w:rPr>
              <w:t>2.0 kcal/mol</w:t>
            </w:r>
          </w:p>
        </w:tc>
        <w:tc>
          <w:tcPr>
            <w:tcW w:w="1325" w:type="dxa"/>
            <w:tcMar>
              <w:top w:w="60" w:type="dxa"/>
              <w:left w:w="70" w:type="dxa"/>
              <w:bottom w:w="60" w:type="dxa"/>
              <w:right w:w="70" w:type="dxa"/>
            </w:tcMar>
            <w:vAlign w:val="center"/>
          </w:tcPr>
          <w:p ns2:paraId="63A9721D" ns2:textId="77777777" w:rsidR="005150BE" w:rsidRDefault="00000000">
            <w:pPr>
              <w:spacing w:after="0" w:line="240" w:lineRule="auto"/>
            </w:pPr>
            <w:r>
              <w:rPr>
                <w:sz w:val="15"/>
              </w:rPr>
              <w:t>0.640</w:t>
            </w:r>
          </w:p>
        </w:tc>
        <w:tc>
          <w:tcPr>
            <w:tcW w:w="1325" w:type="dxa"/>
            <w:tcMar>
              <w:top w:w="60" w:type="dxa"/>
              <w:left w:w="70" w:type="dxa"/>
              <w:bottom w:w="60" w:type="dxa"/>
              <w:right w:w="70" w:type="dxa"/>
            </w:tcMar>
            <w:vAlign w:val="center"/>
          </w:tcPr>
          <w:p ns2:paraId="768BB10D" ns2:textId="77777777" w:rsidR="005150BE" w:rsidRDefault="00000000">
            <w:pPr>
              <w:spacing w:after="0" w:line="240" w:lineRule="auto"/>
            </w:pPr>
            <w:r>
              <w:rPr>
                <w:sz w:val="15"/>
              </w:rPr>
              <w:t>0.719</w:t>
            </w:r>
          </w:p>
        </w:tc>
        <w:tc>
          <w:tcPr>
            <w:tcW w:w="1512" w:type="dxa"/>
            <w:tcMar>
              <w:top w:w="60" w:type="dxa"/>
              <w:left w:w="70" w:type="dxa"/>
              <w:bottom w:w="60" w:type="dxa"/>
              <w:right w:w="70" w:type="dxa"/>
            </w:tcMar>
            <w:vAlign w:val="center"/>
          </w:tcPr>
          <w:p ns2:paraId="68143CDA" ns2:textId="77777777" w:rsidR="005150BE" w:rsidRDefault="00000000">
            <w:pPr>
              <w:spacing w:after="0" w:line="240" w:lineRule="auto"/>
            </w:pPr>
            <w:r>
              <w:rPr>
                <w:sz w:val="15"/>
              </w:rPr>
              <w:t>19/44 = 0.432</w:t>
            </w:r>
          </w:p>
        </w:tc>
        <w:tc>
          <w:tcPr>
            <w:tcW w:w="3528" w:type="dxa"/>
            <w:tcMar>
              <w:top w:w="60" w:type="dxa"/>
              <w:left w:w="70" w:type="dxa"/>
              <w:bottom w:w="60" w:type="dxa"/>
              <w:right w:w="70" w:type="dxa"/>
            </w:tcMar>
            <w:vAlign w:val="center"/>
          </w:tcPr>
          <w:p ns2:paraId="6B6F5E38" ns2:textId="77777777" w:rsidR="005150BE" w:rsidRDefault="00000000">
            <w:r>
              <w:rPr>
                <w:sz w:val="15"/>
              </w:rPr>
              <w:t>Upper-intermediate stringency.</w:t>
            </w:r>
          </w:p>
        </w:tc>
      </w:tr>
      <w:tr w:rsidR="005150BE" ns2:paraId="2527026D" ns2:textId="77777777">
        <w:trPr>
          <w:cantSplit/>
          <w:jc w:val="center"/>
        </w:trPr>
        <w:tc>
          <w:tcPr>
            <w:tcW w:w="1699" w:type="dxa"/>
            <w:shd w:val="clear" w:color="auto" w:fill="F7F9FB"/>
            <w:tcMar>
              <w:top w:w="60" w:type="dxa"/>
              <w:left w:w="70" w:type="dxa"/>
              <w:bottom w:w="60" w:type="dxa"/>
              <w:right w:w="70" w:type="dxa"/>
            </w:tcMar>
            <w:vAlign w:val="center"/>
          </w:tcPr>
          <w:p ns2:paraId="522E9ED9" ns2:textId="77777777" w:rsidR="005150BE" w:rsidRDefault="00000000">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ns2:paraId="6190BC34" ns2:textId="77777777" w:rsidR="005150BE" w:rsidRDefault="00000000">
            <w:pPr>
              <w:spacing w:after="0" w:line="240" w:lineRule="auto"/>
            </w:pPr>
            <w:r>
              <w:rPr>
                <w:sz w:val="15"/>
              </w:rPr>
              <w:t>0.600</w:t>
            </w:r>
          </w:p>
        </w:tc>
        <w:tc>
          <w:tcPr>
            <w:tcW w:w="1325" w:type="dxa"/>
            <w:shd w:val="clear" w:color="auto" w:fill="F7F9FB"/>
            <w:tcMar>
              <w:top w:w="60" w:type="dxa"/>
              <w:left w:w="70" w:type="dxa"/>
              <w:bottom w:w="60" w:type="dxa"/>
              <w:right w:w="70" w:type="dxa"/>
            </w:tcMar>
            <w:vAlign w:val="center"/>
          </w:tcPr>
          <w:p ns2:paraId="0890FAC6" ns2:textId="77777777" w:rsidR="005150BE" w:rsidRDefault="00000000">
            <w:pPr>
              <w:spacing w:after="0" w:line="240" w:lineRule="auto"/>
            </w:pPr>
            <w:r>
              <w:rPr>
                <w:sz w:val="15"/>
              </w:rPr>
              <w:t>0.812</w:t>
            </w:r>
          </w:p>
        </w:tc>
        <w:tc>
          <w:tcPr>
            <w:tcW w:w="1512" w:type="dxa"/>
            <w:shd w:val="clear" w:color="auto" w:fill="F7F9FB"/>
            <w:tcMar>
              <w:top w:w="60" w:type="dxa"/>
              <w:left w:w="70" w:type="dxa"/>
              <w:bottom w:w="60" w:type="dxa"/>
              <w:right w:w="70" w:type="dxa"/>
            </w:tcMar>
            <w:vAlign w:val="center"/>
          </w:tcPr>
          <w:p ns2:paraId="3CF13647" ns2:textId="77777777" w:rsidR="005150BE" w:rsidRDefault="00000000">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ns2:paraId="0CBC0C0D" ns2:textId="77777777" w:rsidR="005150BE" w:rsidRDefault="00000000">
            <w:r>
              <w:rPr>
                <w:sz w:val="15"/>
              </w:rPr>
              <w:t>Frozen benchmark reference; relatively stringent, but not maximally conservative.</w:t>
            </w:r>
          </w:p>
        </w:tc>
      </w:tr>
      <w:tr w:rsidR="005150BE" ns2:paraId="3828EFB1" ns2:textId="77777777">
        <w:trPr>
          <w:cantSplit/>
          <w:jc w:val="center"/>
        </w:trPr>
        <w:tc>
          <w:tcPr>
            <w:tcW w:w="1699" w:type="dxa"/>
            <w:tcMar>
              <w:top w:w="60" w:type="dxa"/>
              <w:left w:w="70" w:type="dxa"/>
              <w:bottom w:w="60" w:type="dxa"/>
              <w:right w:w="70" w:type="dxa"/>
            </w:tcMar>
            <w:vAlign w:val="center"/>
          </w:tcPr>
          <w:p ns2:paraId="6494CFCF" ns2:textId="77777777" w:rsidR="005150BE" w:rsidRDefault="00000000">
            <w:pPr>
              <w:spacing w:after="0" w:line="240" w:lineRule="auto"/>
            </w:pPr>
            <w:r>
              <w:rPr>
                <w:sz w:val="15"/>
              </w:rPr>
              <w:t>Substitution-adjusted 2.9/2.9/3.5</w:t>
            </w:r>
          </w:p>
        </w:tc>
        <w:tc>
          <w:tcPr>
            <w:tcW w:w="1325" w:type="dxa"/>
            <w:tcMar>
              <w:top w:w="60" w:type="dxa"/>
              <w:left w:w="70" w:type="dxa"/>
              <w:bottom w:w="60" w:type="dxa"/>
              <w:right w:w="70" w:type="dxa"/>
            </w:tcMar>
            <w:vAlign w:val="center"/>
          </w:tcPr>
          <w:p ns2:paraId="3BF52B97" ns2:textId="77777777" w:rsidR="005150BE" w:rsidRDefault="00000000">
            <w:pPr>
              <w:spacing w:after="0" w:line="240" w:lineRule="auto"/>
            </w:pPr>
            <w:r>
              <w:rPr>
                <w:sz w:val="15"/>
              </w:rPr>
              <w:t>0.540</w:t>
            </w:r>
          </w:p>
        </w:tc>
        <w:tc>
          <w:tcPr>
            <w:tcW w:w="1325" w:type="dxa"/>
            <w:tcMar>
              <w:top w:w="60" w:type="dxa"/>
              <w:left w:w="70" w:type="dxa"/>
              <w:bottom w:w="60" w:type="dxa"/>
              <w:right w:w="70" w:type="dxa"/>
            </w:tcMar>
            <w:vAlign w:val="center"/>
          </w:tcPr>
          <w:p ns2:paraId="47960F34" ns2:textId="77777777" w:rsidR="005150BE" w:rsidRDefault="00000000">
            <w:pPr>
              <w:spacing w:after="0" w:line="240" w:lineRule="auto"/>
            </w:pPr>
            <w:r>
              <w:rPr>
                <w:sz w:val="15"/>
              </w:rPr>
              <w:t>0.844</w:t>
            </w:r>
          </w:p>
        </w:tc>
        <w:tc>
          <w:tcPr>
            <w:tcW w:w="1512" w:type="dxa"/>
            <w:tcMar>
              <w:top w:w="60" w:type="dxa"/>
              <w:left w:w="70" w:type="dxa"/>
              <w:bottom w:w="60" w:type="dxa"/>
              <w:right w:w="70" w:type="dxa"/>
            </w:tcMar>
            <w:vAlign w:val="center"/>
          </w:tcPr>
          <w:p ns2:paraId="62D22571" ns2:textId="77777777" w:rsidR="005150BE" w:rsidRDefault="00000000">
            <w:pPr>
              <w:spacing w:after="0" w:line="240" w:lineRule="auto"/>
            </w:pPr>
            <w:r>
              <w:rPr>
                <w:sz w:val="15"/>
              </w:rPr>
              <w:t>12/44 = 0.273</w:t>
            </w:r>
          </w:p>
        </w:tc>
        <w:tc>
          <w:tcPr>
            <w:tcW w:w="3528" w:type="dxa"/>
            <w:tcMar>
              <w:top w:w="60" w:type="dxa"/>
              <w:left w:w="70" w:type="dxa"/>
              <w:bottom w:w="60" w:type="dxa"/>
              <w:right w:w="70" w:type="dxa"/>
            </w:tcMar>
            <w:vAlign w:val="center"/>
          </w:tcPr>
          <w:p ns2:paraId="32F33AF1" ns2:textId="77777777" w:rsidR="005150BE" w:rsidRDefault="00000000">
            <w:r>
              <w:rPr>
                <w:sz w:val="15"/>
              </w:rPr>
              <w:t>Most conservative setting evaluated; use when false mechanistic claims are especially costly.</w:t>
            </w:r>
          </w:p>
        </w:tc>
      </w:tr>
    </w:tbl>
    <w:p ns2:paraId="15801F5D" ns2:textId="77777777" w:rsidR="005150BE" w:rsidRPr="0098765A" w:rsidRDefault="00000000">
      <w:pPr>
        <w:rPr>
          <w:rFonts w:ascii="Arial" w:hAnsi="Arial" w:cs="Arial"/>
          <w:szCs w:val="21"/>
        </w:rPr>
      </w:pPr>
      <w:r w:rsidRPr="0098765A">
        <w:rPr>
          <w:rFonts w:ascii="Arial" w:hAnsi="Arial" w:cs="Arial"/>
          <w:szCs w:val="21"/>
        </w:rPr>
        <w:t>The structural arm is the mean rubric grade among the 25 variants with a committed structural mechanism; the rejection arm is the same grade among the 32 curated to lack a lesion on the modeled axes. Measured destabilizations called is computed on a different population and asks something else, counting how many of 44 variant-axis comparisons carrying a directly measured destabilizing energy have |predicted ΔΔG| at or above the stated threshold; Table 3 separates these.</w:t>
      </w:r>
    </w:p>
    <w:p ns2:paraId="6F3FDFE4" ns2:textId="77777777" w:rsidR="005150BE" w:rsidRPr="00407BA1" w:rsidRDefault="00000000">
      <w:pPr>
        <w:rPr>
          <w:rFonts w:ascii="Arial" w:hAnsi="Arial" w:cs="Arial"/>
        </w:rPr>
      </w:pPr>
      <w:r w:rsidRPr="00407BA1">
        <w:rPr>
          <w:rFonts w:ascii="Arial" w:hAnsi="Arial" w:cs="Arial"/>
        </w:rPr>
        <w:t>The same tradeoff appeared in measured-energy comparisons. Of 44 experimentally destabilizing effects, 35 were detected at the 1.0 kcal/mol default, 13 at the 2.5 kcal/mol reference, and 12 at the substitution-adjusted setting. Thus a conservative threshold can miss a real effect even when the measured destabilization is large.</w:t>
      </w:r>
    </w:p>
    <w:p ns2:paraId="007D1502" ns2:textId="77777777" w:rsidR="005150BE" w:rsidRDefault="00000000">
      <w:pPr>
        <w:pStyle w:val="Heading2"/>
      </w:pPr>
      <w:r>
        <w:t>3.6 The predicted energies are anchored to direct measurements, and compress at large effect sizes</w:t>
      </w:r>
    </w:p>
    <w:p ns2:paraId="599BA5D9" ns2:textId="13B8DFC4" w:rsidR="005150BE" w:rsidRPr="00407BA1" w:rsidRDefault="00000000">
      <w:pPr>
        <w:rPr>
          <w:rFonts w:ascii="Arial" w:hAnsi="Arial" w:cs="Arial"/>
        </w:rPr>
      </w:pPr>
      <w:r w:rsidRPr="00407BA1">
        <w:rPr>
          <w:rFonts w:ascii="Arial" w:hAnsi="Arial" w:cs="Arial"/>
        </w:rPr>
        <w:t>The threshold menu in Section 3.5 assumes the predicted energies are meaningful quantities rather than an arbitrary scale, and that assumption is testable wherever the benchmark carries a directly measured energy for the same substitution. Those comparisons explain the shape of the tradeoff above: the predictor orders effects well but understates their size, so a threshold chosen on the measured scale is systematically too strict when applied to predictions.</w:t>
      </w:r>
      <w:commentRangeStart w:id="25"/>
      <w:r w:rsidRPr="00407BA1">
        <w:rPr>
          <w:rFonts w:ascii="Arial" w:hAnsi="Arial" w:cs="Arial"/>
        </w:rPr>
      </w:r>
      <w:commentRangeEnd w:id="25"/>
      <w:r w:rsidR="0098765A" w:rsidRPr="00407BA1">
        <w:rPr>
          <w:rStyle w:val="CommentReference"/>
          <w:rFonts w:ascii="Arial" w:hAnsi="Arial" w:cs="Arial"/>
          <w:sz w:val="21"/>
          <w:szCs w:val="22"/>
        </w:rPr>
      </w:r>
      <w:r w:rsidRPr="00407BA1">
        <w:rPr>
          <w:rFonts w:ascii="Arial" w:hAnsi="Arial" w:cs="Arial"/>
        </w:rPr>
      </w:r>
    </w:p>
    <w:p ns2:paraId="4336518C" ns2:textId="77777777" w:rsidR="005150BE" w:rsidRPr="00407BA1" w:rsidRDefault="00000000">
      <w:pPr>
        <w:rPr>
          <w:rFonts w:ascii="Arial" w:hAnsi="Arial" w:cs="Arial"/>
        </w:rPr>
      </w:pPr>
      <w:r w:rsidRPr="00407BA1">
        <w:rPr>
          <w:rFonts w:ascii="Arial" w:hAnsi="Arial" w:cs="Arial"/>
        </w:rPr>
        <w:lastRenderedPageBreak/>
        <w:t>The first comparison asks whether predicted and measured energies agree in rank and in size, and it separates those two questions because they have different consequences: a predictor that ranks correctly but compresses can still order candidates while misplacing any fixed threshold. Fig 5 shows both. 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ns2:paraId="15E33364" ns2:textId="77777777" w:rsidR="005150BE" w:rsidRDefault="00000000">
      <w:pPr>
        <w:keepNext/>
        <w:spacing w:before="80" w:after="20"/>
        <w:jc w:val="center"/>
      </w:pPr>
      <w:r>
        <w:rPr>
          <w:noProof/>
        </w:rPr>
        <w:drawing>
          <wp:inline distT="0" distB="0" distL="0" distR="0" ns4:anchorId="08A4DB50" ns4:editId="377E4409">
            <wp:extent cx="6080760" cy="2283700"/>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noChangeAspect="1"/>
            </wp:cNvGraphicFramePr>
            <a:graphic>
              <a:graphicData uri="http://schemas.openxmlformats.org/drawingml/2006/picture">
                <ns6:pic>
                  <ns6:nvPicPr>
                    <ns6:cNvPr id="0" name="figure4_clean.png"/>
                    <ns6:cNvPicPr/>
                  </ns6:nvPicPr>
                  <ns6:blipFill>
                    <a:blip r:embed="rId18"/>
                    <a:stretch>
                      <a:fillRect/>
                    </a:stretch>
                  </ns6:blipFill>
                  <ns6:spPr>
                    <a:xfrm>
                      <a:off x="0" y="0"/>
                      <a:ext cx="6080760" cy="2283700"/>
                    </a:xfrm>
                    <a:prstGeom prst="rect">
                      <a:avLst/>
                    </a:prstGeom>
                  </ns6:spPr>
                </ns6:pic>
              </a:graphicData>
            </a:graphic>
          </wp:inline>
        </w:drawing>
      </w:r>
    </w:p>
    <w:p ns2:paraId="48373A66" ns2:textId="77777777" w:rsidR="005150BE" w:rsidRDefault="00000000">
      <w:pPr>
        <w:pStyle w:val="Caption"/>
        <w:keepNext/>
        <w:spacing w:before="60"/>
      </w:pPr>
      <w:r>
        <w:rPr>
          <w:rFonts w:ascii="Arial" w:eastAsia="Arial" w:hAnsi="Arial"/>
        </w:rPr>
        <w:t>Fig 5.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ns2:paraId="09C8484E" ns2:textId="77777777" w:rsidR="005150BE" w:rsidRDefault="00000000">
      <w:r>
        <w:rPr>
          <w:rFonts w:ascii="Arial" w:eastAsia="Arial" w:hAnsi="Arial"/>
        </w:rPr>
        <w:t>Direct within-system measurements supported two axes: rank correlation was 0.72 for the BRCA1 isolated-subunit series and 0.90 for hemoglobin binding [24,48,49]. The present benchmark contains no direct measured energy comparator for the assembled-complex stability calculation, so that axis is evaluated against literature-defined direction and mechanism expectations rather than energy calibration. Fig 6 shows the two directly anchored axes.</w:t>
      </w:r>
    </w:p>
    <w:p ns2:paraId="638A855E" ns2:textId="77777777" w:rsidR="005150BE" w:rsidRDefault="00000000">
      <w:pPr>
        <w:keepNext/>
        <w:spacing w:before="80" w:after="20"/>
        <w:jc w:val="center"/>
      </w:pPr>
      <w:r>
        <w:rPr>
          <w:noProof/>
        </w:rPr>
        <w:lastRenderedPageBreak/>
        <w:drawing>
          <wp:inline distT="0" distB="0" distL="0" distR="0" ns4:anchorId="18D76620" ns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noChangeAspect="1"/>
            </wp:cNvGraphicFramePr>
            <a:graphic>
              <a:graphicData uri="http://schemas.openxmlformats.org/drawingml/2006/picture">
                <ns6:pic>
                  <ns6:nvPicPr>
                    <ns6:cNvPr id="0" name="image5.png"/>
                    <ns6:cNvPicPr/>
                  </ns6:nvPicPr>
                  <ns6:blipFill>
                    <a:blip r:embed="rId19"/>
                    <a:stretch>
                      <a:fillRect/>
                    </a:stretch>
                  </ns6:blipFill>
                  <ns6:spPr>
                    <a:xfrm>
                      <a:off x="0" y="0"/>
                      <a:ext cx="6080760" cy="3026291"/>
                    </a:xfrm>
                    <a:prstGeom prst="rect">
                      <a:avLst/>
                    </a:prstGeom>
                  </ns6:spPr>
                </ns6:pic>
              </a:graphicData>
            </a:graphic>
          </wp:inline>
        </w:drawing>
      </w:r>
    </w:p>
    <w:p ns2:paraId="542B475B" ns2:textId="77777777" w:rsidR="005150BE" w:rsidRPr="00407BA1" w:rsidRDefault="00000000">
      <w:pPr>
        <w:pStyle w:val="Caption"/>
        <w:keepNext/>
        <w:spacing w:before="60"/>
        <w:rPr>
          <w:rFonts w:ascii="Arial" w:hAnsi="Arial" w:cs="Arial"/>
        </w:rPr>
      </w:pPr>
      <w:r w:rsidRPr="00407BA1">
        <w:rPr>
          <w:rFonts w:ascii="Arial" w:hAnsi="Arial" w:cs="Arial"/>
        </w:rPr>
        <w:t>Fig 6.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ns2:paraId="1B5D5098" ns2:textId="77777777" w:rsidR="005150BE" w:rsidRPr="00407BA1" w:rsidRDefault="00000000">
      <w:pPr>
        <w:rPr>
          <w:rFonts w:ascii="Arial" w:hAnsi="Arial" w:cs="Arial"/>
        </w:rPr>
      </w:pPr>
      <w:r w:rsidRPr="00407BA1">
        <w:rPr>
          <w:rFonts w:ascii="Arial" w:hAnsi="Arial" w:cs="Arial"/>
        </w:rP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ns2:paraId="65E98539" ns2:textId="77777777" w:rsidR="005150BE" w:rsidRDefault="00000000">
      <w:pPr>
        <w:pStyle w:val="Heading2"/>
      </w:pPr>
      <w:r>
        <w:lastRenderedPageBreak/>
        <w:t>3.7 COMAVI is not a pathogenicity classifier, and the two rankings answer different questions</w:t>
      </w:r>
    </w:p>
    <w:p ns2:paraId="4AA8C9C7" ns2:textId="4A3CD7BA" w:rsidR="005150BE" w:rsidRDefault="00000000">
      <w:r>
        <w:rPr>
          <w:rFonts w:ascii="Arial" w:eastAsia="Arial" w:hAnsi="Arial"/>
        </w:rPr>
        <w:t>The preceding sections establish what COMAVI recovers and how reliably, which invites a comparison it is important not to make: that a structural-disruption ranking is a pathogenicity predictor with extra steps. On the common clinically labeled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0.943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ns2:paraId="4851AA9D" ns2:textId="77777777" w:rsidR="005150BE" w:rsidRPr="00407BA1" w:rsidRDefault="00000000">
      <w:pPr>
        <w:rPr>
          <w:rFonts w:ascii="Arial" w:hAnsi="Arial" w:cs="Arial"/>
        </w:rPr>
      </w:pPr>
      <w:r w:rsidRPr="00407BA1">
        <w:rPr>
          <w:rFonts w:ascii="Arial" w:hAnsi="Arial" w:cs="Arial"/>
        </w:rPr>
        <w:t>Fig 7 separates the three views on the same variants, plotting structural context, predicted energy and priority score against the pathogenicity score so that agreement and disagreement are visible per variant rather than only in aggregate. Discordant cases show why all three views are useful. HBB E6V can be pathogenic despite a low structural score because its polymerization mechanism is absent from the supplied state. CFH R78G shows the converse: a multimer-aware profile identifies a binding-specific hypothesis that a pathogenicity score cannot name. VWF R1334Q makes the same point from outside this comparison, since AlphaMissense returns no score for it and it is therefore absent from the complete-case population - a coverage limit that a structural profile does not share. PIK3CA 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behavior rather than a missed call - a high priority score is a claim about where to look, not a claim that a specific axis was disrupted. What makes these two informative is where the pathogenicity score sits on them. Both are clinically pathogenic, and both fall inside the AlphaMissense ambiguous band (0.538 and 0.411), as does CFH R78G (0.398); three of the four ambiguous variants in the cohort are the discordant cases named here. So on the variants where the pathogenicity score is least decided, the structural views are not uniformly more informative either: COMAVI supplies a named binding mechanism for R78G and, for H1047R and R162W, only a place to look. The three views do not resolve the same variants, which is the reason to read them together rather than to substitute one for another.</w:t>
      </w:r>
      <w:r w:rsidRPr="00407BA1">
        <w:rPr>
          <w:rFonts w:ascii="Arial" w:hAnsi="Arial" w:cs="Arial"/>
        </w:rPr>
      </w:r>
    </w:p>
    <w:p ns2:paraId="000B2247" ns2:textId="77777777" w:rsidR="005150BE" w:rsidRDefault="00000000">
      <w:pPr>
        <w:keepNext/>
        <w:spacing w:before="80" w:after="20"/>
        <w:jc w:val="center"/>
      </w:pPr>
      <w:commentRangeStart w:id="26"/>
      <w:commentRangeStart w:id="27"/>
      <w:commentRangeStart w:id="28"/>
      <w:r>
        <w:rPr>
          <w:noProof/>
        </w:rPr>
        <w:drawing>
          <wp:inline distT="0" distB="0" distL="0" distR="0" ns4:anchorId="6B4D0D55" ns4:editId="060577F5">
            <wp:extent cx="5989320" cy="4546740"/>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noChangeAspect="1"/>
            </wp:cNvGraphicFramePr>
            <a:graphic>
              <a:graphicData uri="http://schemas.openxmlformats.org/drawingml/2006/picture">
                <ns6:pic>
                  <ns6:nvPicPr>
                    <ns6:cNvPr id="0" name="figure7_alphamissense_isds_mechanism.png"/>
                    <ns6:cNvPicPr/>
                  </ns6:nvPicPr>
                  <ns6:blipFill>
                    <a:blip r:embed="rId20"/>
                    <a:stretch>
                      <a:fillRect/>
                    </a:stretch>
                  </ns6:blipFill>
                  <ns6:spPr>
                    <a:xfrm>
                      <a:off x="0" y="0"/>
                      <a:ext cx="5989320" cy="4546740"/>
                    </a:xfrm>
                    <a:prstGeom prst="rect">
                      <a:avLst/>
                    </a:prstGeom>
                  </ns6:spPr>
                </ns6:pic>
              </a:graphicData>
            </a:graphic>
          </wp:inline>
        </w:drawing>
      </w:r>
      <w:commentRangeEnd w:id="28"/>
      <w:r w:rsidR="00407BA1">
        <w:rPr>
          <w:rStyle w:val="CommentReference"/>
          <w:sz w:val="21"/>
          <w:szCs w:val="22"/>
        </w:rPr>
        <w:commentReference w:id="28"/>
      </w:r>
      <w:commentRangeEnd w:id="26"/>
      <w:r w:rsidR="006A670E">
        <w:rPr>
          <w:rStyle w:val="CommentReference"/>
          <w:sz w:val="21"/>
          <w:szCs w:val="22"/>
        </w:rPr>
        <w:commentReference w:id="26"/>
      </w:r>
      <w:commentRangeEnd w:id="27"/>
      <w:r w:rsidR="006A670E">
        <w:rPr>
          <w:rStyle w:val="CommentReference"/>
          <w:sz w:val="21"/>
          <w:szCs w:val="22"/>
        </w:rPr>
        <w:commentReference w:id="27"/>
      </w:r>
    </w:p>
    <w:p ns2:paraId="462EBE15" ns2:textId="77777777" w:rsidR="005150BE" w:rsidRDefault="00000000">
      <w:pPr>
        <w:pStyle w:val="Caption"/>
        <w:keepNext/>
        <w:spacing w:before="60"/>
      </w:pPr>
      <w:r>
        <w:rPr>
          <w:rFonts w:ascii="Arial" w:eastAsia="Arial" w:hAnsi="Arial"/>
        </w:rPr>
        <w:t>Fig 7. Pathogenicity ranking, structural prioritization, and mechanism interpretation are distinct. (A, B) AlphaMissense pathogenicity scores are compared with the priority score and with the strongest usable absolute predicted energy. Orange points are pathogenic or pathogenic gain-of-function variants; blue points are benign; the gray band marks the AlphaMissense ambiguous range. The two discordant variants discussed in the text, HBB E6V and CFH R78G, are labelled. (C) Pathogenicity ROC AUCs on the common 47-variant complete-case population. These values answer a pathogenicity-ranking question and are distinct from the 0.943 structural-prioritization ROC AUC reported in Section 3.3. COMAVI scores remain structural descriptors, and the mechanism profile provides the process-specific interpretation.</w:t>
      </w:r>
    </w:p>
    <w:p ns2:paraId="0A3EFFA1" ns2:textId="77777777" w:rsidR="005150BE" w:rsidRPr="003759B8" w:rsidRDefault="00000000">
      <w:pPr>
        <w:rPr>
          <w:rFonts w:ascii="Arial" w:hAnsi="Arial" w:cs="Arial"/>
        </w:rPr>
      </w:pPr>
      <w:r w:rsidRPr="003759B8">
        <w:rPr>
          <w:rFonts w:ascii="Arial" w:hAnsi="Arial" w:cs="Arial"/>
        </w:rPr>
        <w:t xml:space="preserve">Silent structural results occurred in both pathogenic and benign variants in this selected benchmark (S3 Text), so silence does not distinguish the two. That observation is the reason the transferable conclusion is asymmetric: a positive structural call supplies a testable hypothesis, whereas a silent call provides little </w:t>
      </w:r>
      <w:r w:rsidRPr="003759B8">
        <w:rPr>
          <w:rFonts w:ascii="Arial" w:hAnsi="Arial" w:cs="Arial"/>
        </w:rPr>
        <w:lastRenderedPageBreak/>
        <w:t>evidence against pathogenicity, because the mechanism may simply lie outside what the supplied model can represent.</w:t>
      </w:r>
    </w:p>
    <w:p ns2:paraId="2DE175FE" ns2:textId="77777777" w:rsidR="005150BE" w:rsidRPr="003759B8" w:rsidRDefault="00000000">
      <w:pPr>
        <w:rPr>
          <w:rFonts w:ascii="Arial" w:hAnsi="Arial" w:cs="Arial"/>
        </w:rPr>
      </w:pPr>
      <w:r w:rsidRPr="003759B8">
        <w:rPr>
          <w:rFonts w:ascii="Arial" w:hAnsi="Arial" w:cs="Arial"/>
        </w:rP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ns2:paraId="3D785516" ns2:textId="77777777" w:rsidR="005150BE" w:rsidRDefault="00000000">
      <w:pPr>
        <w:pStyle w:val="Heading1"/>
        <w:spacing w:after="50"/>
      </w:pPr>
      <w:r>
        <w:t>4. Discussion</w:t>
      </w:r>
    </w:p>
    <w:p ns2:paraId="4C64EF3A" ns2:textId="77777777" w:rsidR="005150BE" w:rsidRDefault="00000000">
      <w:pPr>
        <w:pStyle w:val="Heading2"/>
      </w:pPr>
      <w:r>
        <w:t>4.1 Two linked outputs answer two practical questions</w:t>
      </w:r>
    </w:p>
    <w:p ns2:paraId="573A73CA" ns2:textId="77777777" w:rsidR="005150BE" w:rsidRDefault="00000000">
      <w:r>
        <w:rPr>
          <w:rFonts w:ascii="Arial" w:eastAsia="Arial" w:hAnsi="Arial"/>
        </w:rPr>
        <w:t>COMAVI helps answer two practical questions: which variants deserve structural follow-up, and which experiment should test the predicted effect. Section 3.2 gives the mechanism result and Section 3.3 the prioritization result; what matters for use is that they fail differently. The prioritization result is threshold-free, because the priority score applies no cut-off and its positive class comes from the curated mechanism class, so no part of it moves when the threshold changes. The mechanism result depends entirely on the threshold at which a continuous energy becomes a call. These results support mechanism-directed triage and prioritization within the present literature-curated resource.</w:t>
      </w:r>
    </w:p>
    <w:p ns2:paraId="7878DF8D" ns2:textId="0960978D" w:rsidR="005150BE" w:rsidRDefault="003759B8">
      <w:r>
        <w:rPr>
          <w:rFonts w:ascii="Arial" w:eastAsia="Arial" w:hAnsi="Arial"/>
        </w:rPr>
        <w:t xml:space="preserve">The existing tool most like COMAVI is MAVISp. The underlying protocol is the same: FoldX5 BuildModel for stability and AnalyzeComplex for interaction energy, averaged over replicate runs. Reporting fold and binding effects as separate quantities is theirs as much as ours, as is the principle that a stability call is a statement about structure and not about function. They run a consensus of several energy predictors where COMAVI runs FoldX alone, and they cover over a thousand proteins and millions of variants against our 61. </w:t>
      </w:r>
      <w:r w:rsidR="006A670E">
        <w:rPr>
          <w:rFonts w:ascii="Arial" w:eastAsia="Arial" w:hAnsi="Arial"/>
        </w:rPr>
        <w:t>COMAVI incorporates separate important features</w:t>
      </w:r>
      <w:r>
        <w:rPr>
          <w:rFonts w:ascii="Arial" w:eastAsia="Arial" w:hAnsi="Arial"/>
        </w:rPr>
        <w:t xml:space="preserve">. First, the isolated-versus-assembled fold contrast, which their framework does not compute: its stability module estimates folding energy on one selected structure per target and its local-interaction module treats interfaces, but the two are not run on the same substitution in both contexts and compared. ELASPIC likewise reaches both contexts while assigning each </w:t>
      </w:r>
      <w:r>
        <w:rPr>
          <w:rFonts w:ascii="Arial" w:eastAsia="Arial" w:hAnsi="Arial"/>
        </w:rPr>
        <w:lastRenderedPageBreak/>
        <w:t>substitution to one of them, predicting folding stability for core mutations and binding affinity for interface mutations [14]. Second, an evaluation framework: mechanism attribution scored against literature-defined per-axis expectations, where their validation reports per-protein case narratives and predictor-style sensitivity and specificity against clinical labels. The two are also benchmarked against different quantities. MAVISp is assessed against functional assay readouts, reporting classification agreement with deep mutational scanning and activity data; its own report states that experimental protein-interaction data are too scarce and heterogeneous for reliable benchmarking of the binding module, and substitutes agreement among predictors there [15]. COMAVI is assessed against directly measured energies where the cohort carries them, which is feasible only because it is a small curated benchmark rather than a proteome-scale database. The two designs trade scale against the availability of a measured answer, and neither substitutes for the other. Third, a difference in how the two are used. MAVISp is a database, consulted through a web server or downloaded as tables, with new proteins entering by curation and public releases on a quarterly cycle; a user with a structure and a variant list of their own waits to be added. COMAVI is a pipeline that runs on supplied coordinates and a supplied variant list and returns per-axis energies, a mechanism call and a priority score for each one, which is the mode of use a laboratory triaging its own candidate variants needs. This work makes three contributions, and they are separable. The first is a distinction: COMAVI evaluates the same substitution in an isolated subunit and in the assembled complex, which can separate a predicted folding problem from a predicted partner-binding problem or identify both. The second is the benchmark itself, a cohort of 61 variants across 14 systems in which every committed expectation carries a written evidence basis, a citation, and a gate that enforces agreement between the two; it is usable independently of the method it was built to test. The third is measurement: where the cohort carries directly measured energies, the predictions are compared against them rather than against other predictions. CFH R78G and VWF R1334Q show how that decomposition maps to affinity or assembly experiments, whereas HBB E6V shows why a missing structural state must limit interpretation.</w:t>
      </w:r>
    </w:p>
    <w:p ns2:paraId="502515E3" ns2:textId="77777777" w:rsidR="005150BE" w:rsidRDefault="00000000">
      <w:r>
        <w:rPr>
          <w:rFonts w:ascii="Arial" w:eastAsia="Arial" w:hAnsi="Arial"/>
        </w:rPr>
        <w:t xml:space="preserve">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w:t>
      </w:r>
    </w:p>
    <w:p ns2:paraId="39C5946F" ns2:textId="77777777" w:rsidR="005150BE" w:rsidRDefault="00000000">
      <w:pPr>
        <w:pStyle w:val="Heading2"/>
      </w:pPr>
      <w:r>
        <w:lastRenderedPageBreak/>
        <w:t>4.2 How to use COMAVI: rank, interpret, and test</w:t>
      </w:r>
    </w:p>
    <w:p ns2:paraId="6BDC4089" ns2:textId="45872DEC" w:rsidR="005150BE" w:rsidRDefault="00000000">
      <w:r>
        <w:rPr>
          <w:rFonts w:ascii="Arial" w:eastAsia="Arial" w:hAnsi="Arial"/>
        </w:rPr>
        <w:t>What a user receives per variant is the full per-axis record: signed predicted ΔΔG with its replicate spread for isolated-subunit stability, for stability in the assembled complex, and for interaction energy with each detected partner separately; the confidence status of the substituted site; the structural-context tier and its components; the mechanism call; and the priority score. The label is a reading of those numbers and never replaces them, so a user who disagrees with the threshold can re-read the same call at another one. S1 Table (benchmark_variants sheet) reports the graded call for every variant at all five thresholds, and 21 of the 57 graded variants change their call somewhere in that range. The threshold is an input to the grading, not an output of the pipeline, and the per-axis energies, the mechanism profile and the priority score are reported as continuous values from which a call at any threshold can be recomputed, and a user interested in one partner can look at that partner alone. S1 Table (benchmark_variants sheet) reports this record for every benchmark variant. Threshold choice should follow the cost of error. The 1.0 kcal/mol default is screening-oriented; 1.5-2.0 provides intermediate stringency; 2.5 is the frozen benchmark reference; and the substitution-adjusted setting is the most conservative point evaluated. Lower thresholds are preferable when missing a candidate mechanism is more costly, whereas higher thresholds are preferable when false structural assertions are more costly.</w:t>
      </w:r>
    </w:p>
    <w:p ns2:paraId="7BA4BC48" ns2:textId="77777777" w:rsidR="005150BE" w:rsidRPr="003759B8" w:rsidRDefault="00000000">
      <w:pPr>
        <w:rPr>
          <w:rFonts w:ascii="Arial" w:hAnsi="Arial" w:cs="Arial"/>
        </w:rPr>
      </w:pPr>
      <w:r w:rsidRPr="003759B8">
        <w:rPr>
          <w:rFonts w:ascii="Arial" w:hAnsi="Arial" w:cs="Arial"/>
        </w:rP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ns2:paraId="79D80160" ns2:textId="49574E5F" w:rsidR="005150BE" w:rsidRPr="003759B8" w:rsidRDefault="00000000">
      <w:pPr>
        <w:rPr>
          <w:rFonts w:ascii="Arial" w:hAnsi="Arial" w:cs="Arial"/>
        </w:rPr>
      </w:pPr>
      <w:r w:rsidRPr="003759B8">
        <w:rPr>
          <w:rFonts w:ascii="Arial" w:hAnsi="Arial" w:cs="Arial"/>
        </w:rPr>
        <w:t xml:space="preserve">COMAVI should be used alongside pathogenicity predictors, population evidence, functional assays, and clinical interpretation frameworks such as Franklin [50]. </w:t>
      </w:r>
      <w:r w:rsidR="00003FD4">
        <w:rPr>
          <w:rFonts w:ascii="Arial" w:hAnsi="Arial" w:cs="Arial"/>
        </w:rPr>
        <w:t xml:space="preserve">When implementing COMAVI, </w:t>
      </w:r>
      <w:r w:rsidRPr="003759B8">
        <w:rPr>
          <w:rFonts w:ascii="Arial" w:hAnsi="Arial" w:cs="Arial"/>
        </w:rPr>
        <w:t>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3.7 shows what such a display would and would not add: the two disagree in interpretable ways, so showing them together is useful provided they are not combined into a single score, which would reintroduce the conflation the separation is designed to avoid.</w:t>
      </w:r>
    </w:p>
    <w:p ns2:paraId="6EB9BD61" ns2:textId="77777777" w:rsidR="005150BE" w:rsidRDefault="00000000">
      <w:pPr>
        <w:pStyle w:val="Heading2"/>
      </w:pPr>
      <w:r>
        <w:lastRenderedPageBreak/>
        <w:t>4.3 Limitations and validation priorities</w:t>
      </w:r>
    </w:p>
    <w:p ns2:paraId="66A315AB" ns2:textId="2331CA99" w:rsidR="005150BE" w:rsidRPr="003759B8" w:rsidRDefault="00000000">
      <w:pPr>
        <w:rPr>
          <w:rFonts w:ascii="Arial" w:hAnsi="Arial" w:cs="Arial"/>
        </w:rPr>
      </w:pPr>
      <w:r w:rsidRPr="003759B8">
        <w:rPr>
          <w:rFonts w:ascii="Arial" w:hAnsi="Arial" w:cs="Arial"/>
        </w:rPr>
        <w:t>FoldX predictions preserve direction and rank better than absolute magnitude</w:t>
      </w:r>
      <w:r w:rsidR="00003FD4">
        <w:rPr>
          <w:rFonts w:ascii="Arial" w:hAnsi="Arial" w:cs="Arial"/>
        </w:rPr>
        <w:t xml:space="preserve"> of structural disruption</w:t>
      </w:r>
      <w:r w:rsidRPr="003759B8">
        <w:rPr>
          <w:rFonts w:ascii="Arial" w:hAnsi="Arial" w:cs="Arial"/>
        </w:rPr>
        <w:t>. This is a documented property of the force field rather than a feature of this benchmark: systematic evaluations against measured stability and affinity data report the same compression of large effects [15,46,47], and Section 3.6 reproduces it here with a regression slope of 0.43 against measured energies. Large destabilizations are therefore understated, so stringent thresholds can miss real effects and the priority score cannot be interpreted in experimental energy units. A related caution applies at the other end of the scale. The thresholds in Table 4 are calibrated to separate curated mechanisms from curated negatives, and a variant below the reference threshold is reported as carrying no modeled lesion on that axis; it is not reported as having no effect. Modest predicted destabilizations can still be functionally consequential, particularly for proteins where a small shift in subunit stability or interface affinity changes assembly stoichiometry or turnover, and the measured-energy comparisons show that at the 2.5 reference the method reproduces only 13 of 44 directly measured destabilizing effects. A study concerned with mild but real perturbations should read the 1.0 kcal/mol row of Table 4, where 35 of 44 are reproduced, and accept the accompanying false-call rate.</w:t>
      </w:r>
    </w:p>
    <w:p ns2:paraId="19831C76" ns2:textId="6B2EA4FA" w:rsidR="005150BE" w:rsidRDefault="00003FD4">
      <w:r>
        <w:rPr>
          <w:rFonts w:ascii="Arial" w:eastAsia="Arial" w:hAnsi="Arial"/>
        </w:rPr>
        <w:t>The size and composition of benchmark is another limitation. It contains</w:t>
      </w:r>
      <w:r w:rsidR="00000000">
        <w:rPr>
          <w:rFonts w:ascii="Arial" w:eastAsia="Arial" w:hAnsi="Arial"/>
        </w:rPr>
        <w:t xml:space="preserve"> 57 mechanism-evaluable variants spa</w:t>
      </w:r>
      <w:r>
        <w:rPr>
          <w:rFonts w:ascii="Arial" w:eastAsia="Arial" w:hAnsi="Arial"/>
        </w:rPr>
        <w:t>n</w:t>
      </w:r>
      <w:r w:rsidR="00000000">
        <w:rPr>
          <w:rFonts w:ascii="Arial" w:eastAsia="Arial" w:hAnsi="Arial"/>
        </w:rPr>
        <w:t>n</w:t>
      </w:r>
      <w:r>
        <w:rPr>
          <w:rFonts w:ascii="Arial" w:eastAsia="Arial" w:hAnsi="Arial"/>
        </w:rPr>
        <w:t>ing</w:t>
      </w:r>
      <w:r w:rsidR="00000000">
        <w:rPr>
          <w:rFonts w:ascii="Arial" w:eastAsia="Arial" w:hAnsi="Arial"/>
        </w:rPr>
        <w:t xml:space="preserve"> 14 systems, and variants within a system share structures and curation. Whole-system resampling addresses that dependence but cannot replace prospective validation. Evidence quality is also uneven: isolated-subunit stability and binding have direct energy anchors, whereas the present benchmark contains no direct measured energy comparator for stability calculated in the assembled complex.</w:t>
      </w:r>
    </w:p>
    <w:p ns2:paraId="55E79E74" ns2:textId="77777777" w:rsidR="005150BE" w:rsidRPr="003759B8" w:rsidRDefault="00000000">
      <w:pPr>
        <w:rPr>
          <w:rFonts w:ascii="Arial" w:hAnsi="Arial" w:cs="Arial"/>
        </w:rPr>
      </w:pPr>
      <w:r w:rsidRPr="003759B8">
        <w:rPr>
          <w:rFonts w:ascii="Arial" w:hAnsi="Arial" w:cs="Arial"/>
        </w:rPr>
        <w:t xml:space="preserve">Finally, COMAVI evaluates the supplied static coordinates. It cannot capture every catalytic, dynamic, aggregative, regulatory, post-translational, ligand-dependent, or state-dependent mechanism. Model limitations must therefore be assessed before a silent result is interpreted. </w:t>
      </w:r>
      <w:r w:rsidR="00406CB1" w:rsidRPr="003759B8">
        <w:rPr>
          <w:rFonts w:ascii="Arial" w:hAnsi="Arial" w:cs="Arial"/>
        </w:rPr>
        <w:t>L</w:t>
      </w:r>
      <w:r w:rsidRPr="003759B8">
        <w:rPr>
          <w:rFonts w:ascii="Arial" w:hAnsi="Arial" w:cs="Arial"/>
        </w:rPr>
        <w:t xml:space="preserve">iterature curation remains important, and detailed evidence </w:t>
      </w:r>
      <w:r w:rsidR="00D4098B" w:rsidRPr="003759B8">
        <w:rPr>
          <w:rFonts w:ascii="Arial" w:hAnsi="Arial" w:cs="Arial"/>
        </w:rPr>
        <w:t>is</w:t>
      </w:r>
      <w:r w:rsidRPr="003759B8">
        <w:rPr>
          <w:rFonts w:ascii="Arial" w:hAnsi="Arial" w:cs="Arial"/>
        </w:rPr>
        <w:t xml:space="preserve"> documented in the supplement and repository.</w:t>
      </w:r>
    </w:p>
    <w:p ns2:paraId="31B69BD6" ns2:textId="77777777" w:rsidR="005150BE" w:rsidRDefault="00000000">
      <w:r>
        <w:rPr>
          <w:rFonts w:ascii="Arial" w:eastAsia="Arial" w:hAnsi="Arial"/>
        </w:rPr>
        <w:t xml:space="preserve">The highest-value next tests are external panels that separate folding from binding and include both disruptive and retained-function variants. Additional variants in the VWF A1-GPIb alpha and complement factor H-C3b systems can strengthen validation of fold-neutral binding lesions; SOD1, transthyretin, and </w:t>
      </w:r>
      <w:r>
        <w:rPr>
          <w:rFonts w:ascii="Arial" w:eastAsia="Arial" w:hAnsi="Arial"/>
        </w:rPr>
        <w:lastRenderedPageBreak/>
        <w:t>dense PDZ, SH3, and GB1 landscapes can test coupled tertiary, quaternary, interface, and allosteric effects [3,51,52].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ns2:paraId="45853676" ns2:textId="77777777" w:rsidR="005150BE" w:rsidRDefault="00000000">
      <w:pPr>
        <w:pStyle w:val="Heading2"/>
      </w:pPr>
      <w:r>
        <w:t>4.4 Conclusion</w:t>
      </w:r>
    </w:p>
    <w:p ns2:paraId="22871EEA" ns2:textId="77777777" w:rsidR="005150BE" w:rsidRDefault="00000000">
      <w:r>
        <w:rPr>
          <w:rFonts w:ascii="Arial" w:eastAsia="Arial" w:hAnsi="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ns2:paraId="34B9CCE0" ns2:textId="77777777" w:rsidR="005150BE" w:rsidRDefault="00000000">
      <w:pPr>
        <w:pStyle w:val="Heading1"/>
      </w:pPr>
      <w:r>
        <w:t>Author contributions</w:t>
      </w:r>
    </w:p>
    <w:p ns2:paraId="56F58D5B" ns2:textId="77777777" w:rsidR="005150BE" w:rsidRDefault="00000000">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ns2:paraId="253CD00D" ns2:textId="77777777" w:rsidR="005150BE" w:rsidRDefault="00000000">
      <w:pPr>
        <w:pStyle w:val="Heading1"/>
      </w:pPr>
      <w:r>
        <w:t>Funding</w:t>
      </w:r>
    </w:p>
    <w:p ns2:paraId="29063D18" ns2:textId="77777777" w:rsidR="005150BE" w:rsidRDefault="00000000">
      <w:r>
        <w:t>[Funding sources and grant numbers to be supplied before submission.] The funders had no role in study design, data collection and analysis, decision to publish, or preparation of the manuscript.</w:t>
      </w:r>
    </w:p>
    <w:p ns2:paraId="6F62884C" ns2:textId="77777777" w:rsidR="005150BE" w:rsidRDefault="00000000">
      <w:pPr>
        <w:pStyle w:val="Heading1"/>
      </w:pPr>
      <w:r>
        <w:t>Competing interests</w:t>
      </w:r>
    </w:p>
    <w:p ns2:paraId="3213CFDC" ns2:textId="77777777" w:rsidR="005150BE" w:rsidRDefault="00000000">
      <w:r>
        <w:t>The authors declare no competing interests.</w:t>
      </w:r>
    </w:p>
    <w:p ns2:paraId="3D19F554" ns2:textId="77777777" w:rsidR="005150BE" w:rsidRDefault="00000000">
      <w:pPr>
        <w:pStyle w:val="Heading1"/>
      </w:pPr>
      <w:r>
        <w:lastRenderedPageBreak/>
        <w:t>Ethics statement</w:t>
      </w:r>
    </w:p>
    <w:p ns2:paraId="27E55928" ns2:textId="77777777" w:rsidR="005150BE" w:rsidRDefault="00000000">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ns2:paraId="249A0B81" ns2:textId="77777777" w:rsidR="005150BE" w:rsidRDefault="00000000">
      <w:pPr>
        <w:pStyle w:val="Heading1"/>
      </w:pPr>
      <w:r>
        <w:t>Code availability</w:t>
      </w:r>
    </w:p>
    <w:p ns2:paraId="44B821A4" ns2:textId="77777777" w:rsidR="005150BE" w:rsidRDefault="00000000">
      <w:r>
        <w:rPr>
          <w:rFonts w:ascii="Arial" w:eastAsia="Arial" w:hAnsi="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congenital heart disease,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ns2:paraId="66EF58E2" ns2:textId="77777777" w:rsidR="005150BE" w:rsidRDefault="00000000">
      <w:pPr>
        <w:pStyle w:val="Heading1"/>
      </w:pPr>
      <w:r>
        <w:t>Data availability</w:t>
      </w:r>
    </w:p>
    <w:p ns2:paraId="0731BACF" ns2:textId="77777777" w:rsidR="005150BE" w:rsidRDefault="00000000">
      <w:r>
        <w:t>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executable are not redistributed. Any subsequently minted archive DOI should be added here before submission.</w:t>
      </w:r>
    </w:p>
    <w:p ns2:paraId="19D84F79" ns2:textId="77777777" w:rsidR="005150BE" w:rsidRDefault="00000000">
      <w:pPr>
        <w:pStyle w:val="Heading1"/>
      </w:pPr>
      <w:r>
        <w:t>Acknowledgements</w:t>
      </w:r>
    </w:p>
    <w:p ns2:paraId="1A6D983F" ns2:textId="77777777" w:rsidR="005150BE" w:rsidRDefault="00000000">
      <w:r>
        <w:t>[Acknowledgements to be supplied before submission.]</w:t>
      </w:r>
    </w:p>
    <w:p ns2:paraId="797660B5" ns2:textId="77777777" w:rsidR="005150BE" w:rsidRDefault="00000000">
      <w:pPr>
        <w:pStyle w:val="Heading1"/>
      </w:pPr>
      <w:r>
        <w:lastRenderedPageBreak/>
        <w:t>References</w:t>
      </w:r>
    </w:p>
    <w:p ns2:paraId="39EDB1A8" ns2:textId="77777777" w:rsidR="00423ADE" w:rsidRDefault="00000000">
      <w:r>
        <w:t>1. Cheng J, Novati G, Pan J, et al. Accurate proteome-wide missense variant effect prediction with AlphaMissense. Science. 2023;381(6664):eadg7492. doi:10.1126/science.adg7492</w:t>
      </w:r>
    </w:p>
    <w:p ns2:paraId="6EC549C1" ns2:textId="77777777" w:rsidR="00423ADE" w:rsidRDefault="00000000">
      <w:r>
        <w:t>2. Ye C, Benegas G, Albors C, et al. Predicting genome-wide functional constraints with GPN-Star. Nature. 2026. doi:10.1038/s41586-026-11005-5</w:t>
      </w:r>
    </w:p>
    <w:p ns2:paraId="21AB5525" ns2:textId="77777777" w:rsidR="00423ADE" w:rsidRDefault="00000000">
      <w:r>
        <w:t>3. Faure AJ, Domingo J, Schmiedel JM, Hidalgo-Carcedo C, Diss G, Lehner B. Mapping the energetic and allosteric landscapes of protein binding domains. Nature. 2022;604:175-183. doi:10.1038/s41586-022-04586-4</w:t>
      </w:r>
    </w:p>
    <w:p ns2:paraId="44EE32CD" ns2:textId="77777777" w:rsidR="00423ADE" w:rsidRDefault="00000000">
      <w:r>
        <w:t>4. Abramson J, Adler J, Dunger J, et al. Accurate structure prediction of biomolecular interactions with AlphaFold 3. Nature. 2024;630(8016):493–500. doi:10.1038/s41586-024-07487-w</w:t>
      </w:r>
    </w:p>
    <w:p ns2:paraId="011FAB75" ns2:textId="77777777" w:rsidR="00423ADE" w:rsidRDefault="00000000">
      <w:r>
        <w:t>5. Wohlwend J, Corso G, Passaro S, et al. Boltz-1: democratizing biomolecular interaction modeling. bioRxiv. 2024. doi:10.1101/2024.11.19.624167</w:t>
      </w:r>
    </w:p>
    <w:p ns2:paraId="370157D5" ns2:textId="77777777" w:rsidR="00423ADE" w:rsidRDefault="00000000">
      <w:r>
        <w:t>6. Passaro S, Corso G, Wohlwend J, et al. Boltz-2: towards accurate and efficient binding affinity prediction. bioRxiv. 2025. doi:10.1101/2025.06.14.659707</w:t>
      </w:r>
    </w:p>
    <w:p ns2:paraId="4993664A" ns2:textId="77777777" w:rsidR="00423ADE" w:rsidRDefault="00000000">
      <w:r>
        <w:t>7. Arnaudi M, Utichi M, Tiberti M, Papaleo E. Predicting the structure-altering mechanisms of disease variants. Curr Opin Struct Biol. 2025;91:102994. doi:10.1016/j.sbi.2025.102994</w:t>
      </w:r>
    </w:p>
    <w:p ns2:paraId="36C7F701" ns2:textId="77777777" w:rsidR="00423ADE" w:rsidRDefault="00000000">
      <w:r>
        <w:t>8. Khanna T, Hanna G, Sternberg MJE, David A. Missense3D-DB web catalogue: an atom-based analysis and repository of 4M human protein-coding genetic variants. Hum Genet. 2021;140(5):805–812. doi:10.1007/s00439-020-02246-z</w:t>
      </w:r>
    </w:p>
    <w:p ns2:paraId="305BBE33" ns2:textId="77777777" w:rsidR="00423ADE" w:rsidRDefault="00000000">
      <w:r>
        <w:t>9. Woodard J, Zhang C, Zhang Y. ADDRESS: a database of disease-associated human variants incorporating protein structure and folding stabilities. J Mol Biol. 2021;433(11):166840. doi:10.1016/j.jmb.2021.166840</w:t>
      </w:r>
    </w:p>
    <w:p ns2:paraId="4A9C8664" ns2:textId="77777777" w:rsidR="00423ADE" w:rsidRDefault="00000000">
      <w:r>
        <w:t>10. Philipp M, Moth CW, Ristic N, Tiemann JKS, Seufert F, Panfilova A, et al. MutationExplorer: a webserver for mutation of proteins and 3D visualization of energetic impacts. Nucleic Acids Res. 2024;52(W1):W132–W139. doi:10.1093/nar/gkae301</w:t>
      </w:r>
    </w:p>
    <w:p ns2:paraId="71DC7853" ns2:textId="77777777" w:rsidR="00423ADE" w:rsidRDefault="00000000">
      <w:r>
        <w:lastRenderedPageBreak/>
        <w:t>11. Moth CW, Sheehan JH, Al Mamun A, Sivley RM, Gulsevin A, Rinker DC, et al. VUStruct: a compute pipeline for high throughput and personalized structural biology. PLoS Comput Biol. 2026;22(5):e1014183. doi:10.1371/journal.pcbi.1014183</w:t>
      </w:r>
    </w:p>
    <w:p ns2:paraId="32010BBA" ns2:textId="77777777" w:rsidR="00423ADE" w:rsidRDefault="00000000">
      <w:r>
        <w:t>12. Kwon S, Safer J, Nguyen DT, Hoksza D, May P, Arbesfeld JA, et al. Genomics 2 Proteins portal: a resource and discovery tool for linking genetic screening outputs to protein sequences and structures. Nat Methods. 2024;21(10):1947–1957. doi:10.1038/s41592-024-02409-0</w:t>
      </w:r>
    </w:p>
    <w:p ns2:paraId="6D2BB6E9" ns2:textId="77777777" w:rsidR="00423ADE" w:rsidRDefault="00000000">
      <w:r>
        <w:t>13. Stephenson JD, Totoo P, Burke DF, Jänes J, Beltrao P, Martin MJ. ProtVar: mapping and contextualizing human missense variation. Nucleic Acids Res. 2024;52(W1):W140–W147. doi:10.1093/nar/gkae413</w:t>
      </w:r>
    </w:p>
    <w:p ns2:paraId="4114E867" ns2:textId="77777777" w:rsidR="00423ADE" w:rsidRDefault="00000000">
      <w:r>
        <w:t>14. Witvliet DK, Strokach A, Giraldo-Forero AF, Teyra J, Colak R, Kim PM. ELASPIC web-server: proteome-wide structure-based prediction of mutation effects on protein stability and binding affinity. Bioinformatics. 2016;32(10):1589-1591. doi:10.1093/bioinformatics/btw031</w:t>
      </w:r>
    </w:p>
    <w:p ns2:paraId="5A2496A7" ns2:textId="77777777" w:rsidR="00423ADE" w:rsidRDefault="00000000">
      <w:r>
        <w:t>15. Arnaudi M, Utichi M, Degn K, Tiberti M, Beltrame L, Krzesińska K, et al. MAVISp: a modular structure-based framework for protein variant effects. Protein Sci. 2026;35(5):e70548. doi:10.1002/pro.70548</w:t>
      </w:r>
    </w:p>
    <w:p ns2:paraId="48B45956" ns2:textId="77777777" w:rsidR="00423ADE" w:rsidRDefault="00000000">
      <w:r>
        <w:t>16. Buß O, Rudat J, Ochsenreither K. FoldX as protein engineering tool: better than random based approaches? Comput Struct Biotechnol J. 2018;16:25–33. doi:10.1016/j.csbj.2018.01.002</w:t>
      </w:r>
    </w:p>
    <w:p ns2:paraId="49D41BD2" ns2:textId="77777777" w:rsidR="00423ADE" w:rsidRDefault="00000000">
      <w:r>
        <w:t>17. Rodrigues CHM, Myung Y, Pires DEV, Ascher DB. mCSM-PPI2: predicting the effects of mutations on protein–protein interactions. Nucleic Acids Res. 2019;47(W1):W338–W344. doi:10.1093/nar/gkz383</w:t>
      </w:r>
    </w:p>
    <w:p ns2:paraId="693C307C" ns2:textId="77777777" w:rsidR="00423ADE" w:rsidRDefault="00000000">
      <w:r>
        <w:t>18. Montanucci L, Capriotti E, Frank Y, Ben-Tal N, Fariselli P. DDGun: an untrained method for the prediction of protein stability changes upon single and multiple point variations. BMC Bioinformatics. 2019;20(Suppl 14):335. doi:10.1186/s12859-019-2923-1</w:t>
      </w:r>
    </w:p>
    <w:p ns2:paraId="451D0626" ns2:textId="77777777" w:rsidR="00423ADE" w:rsidRDefault="00000000">
      <w:r>
        <w:t>19. Livesey BJ, Marsh JA. Using deep mutational scanning to benchmark variant effect predictors and identify disease mutations. Mol Syst Biol. 2020;16(7):e9380. doi:10.15252/msb.20199380</w:t>
      </w:r>
    </w:p>
    <w:p ns2:paraId="0581B860" ns2:textId="77777777" w:rsidR="00423ADE" w:rsidRDefault="00000000">
      <w:r>
        <w:t>20. Blaabjerg LM, Kassem MM, Good LL, Jonsson N, Cagiada M, Johansson KE, et al. Rapid protein stability prediction using deep learning representations. eLife. 2023;12:e82593. doi:10.7554/eLife.82593</w:t>
      </w:r>
    </w:p>
    <w:p ns2:paraId="5C8AE2CF" ns2:textId="77777777" w:rsidR="00423ADE" w:rsidRDefault="00000000">
      <w:r>
        <w:lastRenderedPageBreak/>
        <w:t>21. Arnaudi M, Utichi M, Beltrame L, et al. RosettaDDGPrediction for high-throughput mutational scans: from stability to binding. Protein Sci. 2023;32(1):e4527. doi:10.1002/pro.4527</w:t>
      </w:r>
    </w:p>
    <w:p ns2:paraId="572C1848" ns2:textId="77777777" w:rsidR="00423ADE" w:rsidRDefault="00000000">
      <w:r>
        <w:t>22. Degn K, Utichi M, Besora Sánchez-Izquierdo P, Tiberti M, Papaleo E. In-silico stability predictors: investigation of performance towards balanced experimental data. bioRxiv. 2025. doi:10.1101/2025.03.28.645695</w:t>
      </w:r>
    </w:p>
    <w:p ns2:paraId="51AC7060" ns2:textId="77777777" w:rsidR="00423ADE" w:rsidRDefault="00000000">
      <w:r>
        <w:t>23. Vliora A, Tiberti M, Papaleo E. Evaluating FoldX 5.1 for MAVISp stability data collection. bioRxiv. 2026. doi:10.64898/2026.03.31.715598</w:t>
      </w:r>
    </w:p>
    <w:p ns2:paraId="5F5FF421" ns2:textId="77777777" w:rsidR="00423ADE" w:rsidRDefault="00000000">
      <w:r>
        <w:t>24. Rowling PJE, Cook R, Itzhaki LS. Toward classification of BRCA1 missense variants using a biophysical approach. J Biol Chem. 2010;285(26):20080–20087. doi:10.1074/jbc.M109.088922</w:t>
      </w:r>
    </w:p>
    <w:p ns2:paraId="7F258D58" ns2:textId="77777777" w:rsidR="00423ADE" w:rsidRDefault="00000000">
      <w:r>
        <w:t>25. Clark KA, Yang QP, Weeks AM, et al. Comprehensive evaluation and efficient classification of BRCA1 RING domain missense substitutions. Am J Hum Genet. 2022;109(6):1153–1174. doi:10.1016/j.ajhg.2022.05.004</w:t>
      </w:r>
    </w:p>
    <w:p ns2:paraId="5EAC76BB" ns2:textId="77777777" w:rsidR="00423ADE" w:rsidRDefault="00000000">
      <w:r>
        <w:t>26. Starita LM, Young DL, Islam M, et al. Massively parallel functional analysis of BRCA1 RING domain variants. Genetics. 2015;200(2):413–422. doi:10.1534/genetics.115.175802</w:t>
      </w:r>
    </w:p>
    <w:p ns2:paraId="1953D740" ns2:textId="77777777" w:rsidR="00423ADE" w:rsidRDefault="00000000">
      <w:r>
        <w:t>27. Crotti L, Johnson CN, Graf E, et al. Calmodulin mutations associated with recurrent cardiac arrest in infants. Circulation. 2013;127(9):1009–1017. doi:10.1161/CIRCULATIONAHA.112.001216</w:t>
      </w:r>
    </w:p>
    <w:p ns2:paraId="40757AA2" ns2:textId="77777777" w:rsidR="00423ADE" w:rsidRDefault="00000000">
      <w:r>
        <w:t>28. Hunter JC, Manandhar A, Carrasco MA, Gurbani D, Gondi S, Westover KD. Biochemical and structural analysis of common cancer-associated KRAS mutations. Mol Cancer Res. 2015;13(9):1325–1335. doi:10.1158/1541-7786.MCR-15-0203</w:t>
      </w:r>
    </w:p>
    <w:p ns2:paraId="75EE5E28" ns2:textId="77777777" w:rsidR="00423ADE" w:rsidRDefault="00000000">
      <w:r>
        <w:t>29. Kosinski J, Hinrichsen I, Bujnicki JM, Friedhoff P, Plotz G. Identification of Lynch syndrome mutations in the MLH1-PMS2 interface that disturb dimerization and mismatch repair. Hum Mutat. 2010;31(8):975–982. doi:10.1002/humu.21301</w:t>
      </w:r>
    </w:p>
    <w:p ns2:paraId="549F2568" ns2:textId="77777777" w:rsidR="00423ADE" w:rsidRDefault="00000000">
      <w:r>
        <w:t>30. Raevaara TE, Korhonen MK, Lohi H, et al. Functional significance and clinical phenotype of nontruncating mismatch repair variants of MLH1. Gastroenterology. 2005;129(2):537–549. doi:10.1053/j.gastro.2005.06.005</w:t>
      </w:r>
    </w:p>
    <w:p ns2:paraId="786AF0CD" ns2:textId="77777777" w:rsidR="00423ADE" w:rsidRDefault="00000000">
      <w:r>
        <w:t>31. Drost M, Tiersma Y, Glubb D, et al. A functional assay-based procedure to classify mismatch repair gene variants in Lynch syndrome. Genet Med. 2019;21(7):1486–1496. doi:10.1038/s41436-018-0372-2</w:t>
      </w:r>
    </w:p>
    <w:p ns2:paraId="39A4E980" ns2:textId="77777777" w:rsidR="00423ADE" w:rsidRDefault="00000000">
      <w:r>
        <w:lastRenderedPageBreak/>
        <w:t>32. Ollila S, Sarantaus L, Kariola R, et al. Pathogenicity of MSH2 missense mutations is typically associated with impaired repair capability of the mutated protein. Gastroenterology. 2006;131(5):1408–1417. doi:10.1053/j.gastro.2006.08.044</w:t>
      </w:r>
    </w:p>
    <w:p ns2:paraId="069EA540" ns2:textId="77777777" w:rsidR="00423ADE" w:rsidRDefault="00000000">
      <w:r>
        <w:t>33. Ollila S, Dermadi Bebek D, Jiricny J, Nyström M. Mechanisms of pathogenicity in human MSH2 missense mutants. Hum Mutat. 2008;29(11):1355–1363. doi:10.1002/humu.20893</w:t>
      </w:r>
    </w:p>
    <w:p ns2:paraId="0F36423F" ns2:textId="77777777" w:rsidR="00423ADE" w:rsidRDefault="00000000">
      <w:r>
        <w:t>34. Jia X, Burugula BB, Chen V, et al. Massively parallel functional testing of MSH2 missense variants conferring Lynch syndrome risk. Am J Hum Genet. 2021;108(1):163–175. doi:10.1016/j.ajhg.2020.12.003</w:t>
      </w:r>
    </w:p>
    <w:p ns2:paraId="2F9834FE" ns2:textId="77777777" w:rsidR="00423ADE" w:rsidRDefault="00000000">
      <w:r>
        <w:t>35. Zhao L, Vogt PK. Helical domain and kinase domain mutations in p110α of phosphatidylinositol 3-kinase induce gain of function by different mechanisms. Proc Natl Acad Sci USA. 2008;105(7):2652–2657. doi:10.1073/pnas.0712169105</w:t>
      </w:r>
    </w:p>
    <w:p ns2:paraId="7D35C066" ns2:textId="77777777" w:rsidR="00423ADE" w:rsidRDefault="00000000">
      <w:r>
        <w:t>36. Mandelker D, Gabelli SB, Schmidt-Kittler O, et al. A frequent kinase domain mutation that changes the interaction between PI3Kα and the membrane. Proc Natl Acad Sci USA. 2009;106(40):16996–17001. doi:10.1073/pnas.0908444106</w:t>
      </w:r>
    </w:p>
    <w:p ns2:paraId="1222F7E0" ns2:textId="77777777" w:rsidR="00423ADE" w:rsidRDefault="00000000">
      <w:r>
        <w:t>37. Jaiswal BS, Janakiraman V, Kljavin NM, et al. Somatic mutations in p85α promote tumorigenesis through class IA PI3K activation. Cancer Cell. 2009;16(6):463–474. doi:10.1016/j.ccr.2009.10.016</w:t>
      </w:r>
    </w:p>
    <w:p ns2:paraId="628C18BA" ns2:textId="77777777" w:rsidR="00423ADE" w:rsidRDefault="00000000">
      <w:r>
        <w:t>38. De Bosscher K, Hill CS, Nicolás FJ. Molecular and functional consequences of Smad4 C-terminal missense mutations in colorectal tumour cells. Biochem J. 2004;379(Pt 1):209–216. doi:10.1042/bj20031886</w:t>
      </w:r>
    </w:p>
    <w:p ns2:paraId="339D74EF" ns2:textId="77777777" w:rsidR="00423ADE" w:rsidRDefault="00000000">
      <w:r>
        <w:t>39. Le Goff C, Mahaut C, Abhyankar A, et al. Mutations at a single codon in Mad homology 2 domain of SMAD4 cause Myhre syndrome. Nat Genet. 2011;44(1):85–88. doi:10.1038/ng.1016</w:t>
      </w:r>
    </w:p>
    <w:p ns2:paraId="3A9BB4BD" ns2:textId="77777777" w:rsidR="00423ADE" w:rsidRDefault="00000000">
      <w:r>
        <w:t>40. Lanauze CB, Sehgal P, Hayer K, et al. Colorectal cancer-associated Smad4 R361 hotspot mutations boost Wnt/β-catenin signaling through enhanced Smad4-LEF1 binding. Mol Cancer Res. 2021;19(5):823–833. doi:10.1158/1541-7786.MCR-20-0721</w:t>
      </w:r>
    </w:p>
    <w:p ns2:paraId="02718E2E" ns2:textId="77777777" w:rsidR="00423ADE" w:rsidRDefault="00000000">
      <w:r>
        <w:t>41. Elliott K, Watkins H, Redwood CS. Altered regulatory properties of human cardiac troponin I mutants that cause hypertrophic cardiomyopathy. J Biol Chem. 2000;275(29):22069–22074. doi:10.1074/jbc.M002502200</w:t>
      </w:r>
    </w:p>
    <w:p ns2:paraId="5968342E" ns2:textId="77777777" w:rsidR="00423ADE" w:rsidRDefault="00000000">
      <w:r>
        <w:lastRenderedPageBreak/>
        <w:t>42. Stebbins CE, Kaelin WG Jr, Pavletich NP. Structure of the VHL-ElonginC-ElonginB complex: implications for VHL tumor suppressor function. Science. 1999;284(5413):455–461. doi:10.1126/science.284.5413.455</w:t>
      </w:r>
    </w:p>
    <w:p ns2:paraId="0DA6AEC5" ns2:textId="77777777" w:rsidR="00423ADE" w:rsidRDefault="00000000">
      <w:r>
        <w:t>43. Ohh M, Park CW, Ivan M, et al. Ubiquitination of hypoxia-inducible factor requires direct binding to the β-domain of the von Hippel-Lindau protein. Nat Cell Biol. 2000;2(7):423–427. doi:10.1038/35017054</w:t>
      </w:r>
    </w:p>
    <w:p ns2:paraId="4E8B6ED1" ns2:textId="77777777" w:rsidR="00423ADE" w:rsidRDefault="00000000">
      <w:r>
        <w:t>44. Schymkowitz J, Borg J, Stricher F, Nys R, Rousseau F, Serrano L. The FoldX web server: an online force field. Nucleic Acids Res. 2005;33(Web Server issue):W382–W388. doi:10.1093/nar/gki387</w:t>
      </w:r>
    </w:p>
    <w:p ns2:paraId="56272B0E" ns2:textId="77777777" w:rsidR="00423ADE" w:rsidRDefault="00000000">
      <w:r>
        <w:t>45. Sapozhnikov Y, Patel JS, Ytreberg FM, Miller CR. Statistical modeling to quantify the uncertainty of FoldX-predicted protein folding and binding stability. BMC Bioinformatics. 2023;24:426. doi:10.1186/s12859-023-05537-0</w:t>
      </w:r>
    </w:p>
    <w:p ns2:paraId="37AB9DD7" ns2:textId="77777777" w:rsidR="00423ADE" w:rsidRDefault="00000000">
      <w:r>
        <w:t>46. Pechtl IC, Kavanagh D, McIntosh N, Harris CL, Barlow PN. Disease-associated N-terminal complement factor H mutations perturb cofactor and decay-accelerating activities. J Biol Chem. 2011;286(13):11082–11090. doi:10.1074/jbc.M110.211839</w:t>
      </w:r>
    </w:p>
    <w:p ns2:paraId="4DD30E35" ns2:textId="77777777" w:rsidR="00423ADE" w:rsidRDefault="00000000">
      <w:r>
        <w:t>47. Tischer A, Machha VR, Rösner V, et al. Structure-resolved dynamics of type 2M von Willebrand disease. J Thromb Haemost. 2025;23(4):1215–1228. doi:10.1016/j.jtha.2024.12.026</w:t>
      </w:r>
    </w:p>
    <w:p ns2:paraId="34D4DD93" ns2:textId="77777777" w:rsidR="00423ADE" w:rsidRDefault="00000000">
      <w:r>
        <w:t>48. Kwiatkowski LD, Hui HL, Wierzba A, et al. Preparation and kinetic characterization of a series of βW37 variants of human hemoglobin A: evidence for high-affinity T quaternary structures. Biochemistry. 1998;37(13):4325–4335. doi:10.1021/bi970866q</w:t>
      </w:r>
    </w:p>
    <w:p ns2:paraId="65450D78" ns2:textId="77777777" w:rsidR="00423ADE" w:rsidRDefault="00000000">
      <w:r>
        <w:t>49. Bonaventura J, Riggs A. Hemoglobin Kansas, a human hemoglobin with a neutral amino acid substitution and an abnormal oxygen equilibrium. J Biol Chem. 1968;243(5):980–991. doi:10.1016/S0021-9258(18)93612-4</w:t>
      </w:r>
    </w:p>
    <w:p ns2:paraId="25228FDC" ns2:textId="77777777" w:rsidR="00423ADE" w:rsidRDefault="00000000">
      <w:r>
        <w:t>50. Franklin by Genoox. Genomic variant interpretation platform. Genoox Ltd. https://franklin.genoox.com (accessed 2026).</w:t>
      </w:r>
    </w:p>
    <w:p ns2:paraId="39F5A78A" ns2:textId="77777777" w:rsidR="00423ADE" w:rsidRDefault="00000000">
      <w:r>
        <w:t>51. Vassall KA, Stathopulos PB, Rumfeldt JAO, Lepock JR, Meiering EM. Equilibrium thermodynamic analysis of amyotrophic lateral sclerosis-associated mutant apo Cu,Zn superoxide dismutases. Biochemistry. 2006;45(23):7366-7379. doi:10.1021/bi0600953</w:t>
      </w:r>
    </w:p>
    <w:p ns2:paraId="202930F3" ns2:textId="77777777" w:rsidR="00423ADE" w:rsidRDefault="00000000">
      <w:r>
        <w:lastRenderedPageBreak/>
        <w:t>52.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ns2:paraId="6747AF9E" ns2:textId="77777777" w:rsidR="00423ADE" w:rsidRDefault="00000000">
      <w:r>
        <w:t>53. Grantham R. Amino acid difference formula to help explain protein evolution. Science. 1974;185(4154):862–864. doi:10.1126/science.185.4154.862</w:t>
      </w:r>
    </w:p>
    <w:p ns2:paraId="44293C54" ns2:textId="77777777" w:rsidR="00423ADE" w:rsidRDefault="00000000">
      <w:r>
        <w:t>54. Abildgaard AB, Stein A, Nielsen SV, Schultz-Knudsen K, Papaleo E, Shrikhande A, et al. Computational and cellular studies reveal structural destabilization and degradation of MLH1 variants in Lynch syndrome. eLife. 2019;8:e49138. doi:10.7554/eLife.49138</w:t>
      </w:r>
    </w:p>
    <w:p ns2:paraId="7CFC4CFC" ns2:textId="77777777" w:rsidR="00423ADE" w:rsidRDefault="00000000">
      <w:r>
        <w:t>55. Nielsen SV, Stein A, Dinitzen AB, Papaleo E, Tatham MH, Poulsen EG, et al. Predicting the impact of Lynch syndrome-causing missense mutations from structural calculations. PLoS Genet. 2017;13(4):e1006739. doi:10.1371/journal.pgen.1006739</w:t>
      </w:r>
    </w:p>
    <w:p ns2:paraId="76226404" ns2:textId="77777777" w:rsidR="00423ADE" w:rsidRDefault="00000000">
      <w:r>
        <w:t>56. Jankauskaitė J, Jiménez-García B, Dapkūnas J, Fernández-Recio J, Moal IH. SKEMPI 2.0: an updated benchmark of changes in protein–protein binding energy, kinetics and thermodynamics upon mutation. Bioinformatics. 2019;35(3):462–469. doi:10.1093/bioinformatics/bty635</w:t>
      </w:r>
    </w:p>
    <w:p ns2:paraId="1A00EA2E" ns2:textId="77777777" w:rsidR="008B49EB" w:rsidRDefault="008B49EB">
      <w:pPr>
        <w:spacing w:after="50"/>
        <w:ind w:left="360" w:hanging="360"/>
        <w:rPr>
          <w:rFonts w:eastAsia="Aptos"/>
          <w:sz w:val="17"/>
        </w:rPr>
      </w:pPr>
    </w:p>
    <w:p ns2:paraId="3024A760" ns2:textId="77777777" w:rsidR="008B49EB" w:rsidRDefault="008B49EB">
      <w:pPr>
        <w:spacing w:after="50"/>
        <w:ind w:left="360" w:hanging="360"/>
        <w:rPr>
          <w:rFonts w:eastAsia="Aptos"/>
          <w:sz w:val="17"/>
        </w:rPr>
      </w:pPr>
    </w:p>
    <w:p ns2:paraId="0935DE5A" ns2:textId="77777777" w:rsidR="008B49EB" w:rsidRDefault="008B49EB">
      <w:pPr>
        <w:spacing w:after="50"/>
        <w:ind w:left="360" w:hanging="360"/>
        <w:rPr>
          <w:rFonts w:eastAsia="Aptos"/>
          <w:sz w:val="17"/>
        </w:rPr>
      </w:pPr>
    </w:p>
    <w:p ns2:paraId="729FD951" ns2:textId="77777777" w:rsidR="008B49EB" w:rsidRDefault="008B49EB">
      <w:pPr>
        <w:spacing w:after="50"/>
        <w:ind w:left="360" w:hanging="360"/>
        <w:rPr>
          <w:rFonts w:eastAsia="Aptos"/>
          <w:sz w:val="17"/>
        </w:rPr>
      </w:pPr>
    </w:p>
    <w:p ns2:paraId="7960E239" ns2:textId="77777777" w:rsidR="008B49EB" w:rsidRDefault="008B49EB">
      <w:pPr>
        <w:spacing w:after="50"/>
        <w:ind w:left="360" w:hanging="360"/>
        <w:rPr>
          <w:rFonts w:eastAsia="Aptos"/>
          <w:sz w:val="17"/>
        </w:rPr>
      </w:pPr>
    </w:p>
    <w:p ns2:paraId="14D390D5" ns2:textId="77777777" w:rsidR="008B49EB" w:rsidRDefault="008B49EB">
      <w:pPr>
        <w:spacing w:after="50"/>
        <w:ind w:left="360" w:hanging="360"/>
        <w:rPr>
          <w:rFonts w:eastAsia="Aptos"/>
          <w:sz w:val="17"/>
        </w:rPr>
      </w:pPr>
    </w:p>
    <w:p ns2:paraId="1367F30E" ns2:textId="77777777" w:rsidR="008B49EB" w:rsidRDefault="008B49EB">
      <w:pPr>
        <w:spacing w:after="50"/>
        <w:ind w:left="360" w:hanging="360"/>
        <w:rPr>
          <w:rFonts w:eastAsia="Aptos"/>
          <w:sz w:val="17"/>
        </w:rPr>
      </w:pPr>
    </w:p>
    <w:p ns2:paraId="15E411FE" ns2:textId="77777777" w:rsidR="008B49EB" w:rsidRDefault="008B49EB">
      <w:pPr>
        <w:spacing w:after="50"/>
        <w:ind w:left="360" w:hanging="360"/>
        <w:rPr>
          <w:rFonts w:eastAsia="Aptos"/>
          <w:sz w:val="17"/>
        </w:rPr>
      </w:pPr>
    </w:p>
    <w:p ns2:paraId="6992EFB3" ns2:textId="77777777" w:rsidR="008B49EB" w:rsidRDefault="008B49EB">
      <w:pPr>
        <w:spacing w:after="50"/>
        <w:ind w:left="360" w:hanging="360"/>
        <w:rPr>
          <w:rFonts w:eastAsia="Aptos"/>
          <w:sz w:val="17"/>
        </w:rPr>
      </w:pPr>
    </w:p>
    <w:p ns2:paraId="4502893B" ns2:textId="77777777" w:rsidR="008B49EB" w:rsidRDefault="008B49EB">
      <w:pPr>
        <w:spacing w:after="50"/>
        <w:ind w:left="360" w:hanging="360"/>
        <w:rPr>
          <w:rFonts w:eastAsia="Aptos"/>
          <w:sz w:val="17"/>
        </w:rPr>
      </w:pPr>
    </w:p>
    <w:p ns2:paraId="0D578928" ns2:textId="77777777" w:rsidR="008B49EB" w:rsidRDefault="008B49EB">
      <w:pPr>
        <w:spacing w:after="50"/>
        <w:ind w:left="360" w:hanging="360"/>
        <w:rPr>
          <w:rFonts w:eastAsia="Aptos"/>
          <w:sz w:val="17"/>
        </w:rPr>
      </w:pPr>
    </w:p>
    <w:p ns2:paraId="72358C82" ns2:textId="77777777" w:rsidR="008B49EB" w:rsidRDefault="008B49EB">
      <w:pPr>
        <w:spacing w:after="50"/>
        <w:ind w:left="360" w:hanging="360"/>
        <w:rPr>
          <w:rFonts w:eastAsia="Aptos"/>
          <w:sz w:val="17"/>
        </w:rPr>
      </w:pPr>
    </w:p>
    <w:p ns2:paraId="0B5C5449" ns2:textId="77777777" w:rsidR="008B49EB" w:rsidRDefault="008B49EB">
      <w:pPr>
        <w:spacing w:after="50"/>
        <w:ind w:left="360" w:hanging="360"/>
        <w:rPr>
          <w:rFonts w:eastAsia="Aptos"/>
          <w:sz w:val="17"/>
        </w:rPr>
      </w:pPr>
    </w:p>
    <w:p ns2:paraId="701A2E23" ns2:textId="77777777" w:rsidR="008B49EB" w:rsidRDefault="008B49EB">
      <w:pPr>
        <w:spacing w:after="50"/>
        <w:ind w:left="360" w:hanging="360"/>
        <w:rPr>
          <w:rFonts w:eastAsia="Aptos"/>
          <w:sz w:val="17"/>
        </w:rPr>
      </w:pPr>
    </w:p>
    <w:p ns2:paraId="3768E8B4" ns2:textId="77777777" w:rsidR="008B49EB" w:rsidRDefault="008B49EB">
      <w:pPr>
        <w:spacing w:after="50"/>
        <w:ind w:left="360" w:hanging="360"/>
        <w:rPr>
          <w:rFonts w:eastAsia="Aptos"/>
          <w:sz w:val="17"/>
        </w:rPr>
      </w:pPr>
    </w:p>
    <w:p ns2:paraId="4EB4221F" ns2:textId="77777777" w:rsidR="008B49EB" w:rsidRDefault="008B49EB">
      <w:pPr>
        <w:spacing w:after="50"/>
        <w:ind w:left="360" w:hanging="360"/>
        <w:rPr>
          <w:rFonts w:eastAsia="Aptos"/>
          <w:sz w:val="17"/>
        </w:rPr>
      </w:pPr>
    </w:p>
    <w:p ns2:paraId="6F8DEC34" ns2:textId="77777777" w:rsidR="008B49EB" w:rsidRDefault="008B49EB">
      <w:pPr>
        <w:spacing w:after="50"/>
        <w:ind w:left="360" w:hanging="360"/>
        <w:rPr>
          <w:rFonts w:eastAsia="Aptos"/>
          <w:sz w:val="17"/>
        </w:rPr>
      </w:pPr>
    </w:p>
    <w:p ns2:paraId="32AB8B24" ns2:textId="77777777" w:rsidR="008B49EB" w:rsidRDefault="008B49EB">
      <w:pPr>
        <w:spacing w:after="50"/>
        <w:ind w:left="360" w:hanging="360"/>
        <w:rPr>
          <w:rFonts w:eastAsia="Aptos"/>
          <w:sz w:val="17"/>
        </w:rPr>
      </w:pPr>
    </w:p>
    <w:p ns2:paraId="7A05AE7B" ns2:textId="77777777" w:rsidR="008B49EB" w:rsidRDefault="008B49EB">
      <w:pPr>
        <w:spacing w:after="50"/>
        <w:ind w:left="360" w:hanging="360"/>
        <w:rPr>
          <w:rFonts w:eastAsia="Aptos"/>
          <w:sz w:val="17"/>
        </w:rPr>
      </w:pPr>
    </w:p>
    <w:p ns2:paraId="47038CAF" ns2:textId="77777777" w:rsidR="008B49EB" w:rsidRDefault="008B49EB">
      <w:pPr>
        <w:spacing w:after="50"/>
        <w:ind w:left="360" w:hanging="360"/>
        <w:rPr>
          <w:rFonts w:eastAsia="Aptos"/>
          <w:sz w:val="17"/>
        </w:rPr>
      </w:pPr>
    </w:p>
    <w:p ns2:paraId="6E38F3E8" ns2:textId="77777777" w:rsidR="008B49EB" w:rsidRDefault="008B49EB">
      <w:pPr>
        <w:spacing w:after="50"/>
        <w:ind w:left="360" w:hanging="360"/>
        <w:rPr>
          <w:rFonts w:eastAsia="Aptos"/>
          <w:sz w:val="17"/>
        </w:rPr>
      </w:pPr>
    </w:p>
    <w:p ns2:paraId="19F1FF6C" ns2:textId="77777777" w:rsidR="008B49EB" w:rsidRDefault="008B49EB">
      <w:pPr>
        <w:spacing w:after="50"/>
        <w:ind w:left="360" w:hanging="360"/>
        <w:rPr>
          <w:rFonts w:eastAsia="Aptos"/>
          <w:sz w:val="17"/>
        </w:rPr>
      </w:pPr>
    </w:p>
    <w:p ns2:paraId="73E09AB0" ns2:textId="77777777" w:rsidR="008B49EB" w:rsidRDefault="008B49EB">
      <w:pPr>
        <w:spacing w:after="50"/>
        <w:ind w:left="360" w:hanging="360"/>
        <w:rPr>
          <w:rFonts w:eastAsia="Aptos"/>
          <w:sz w:val="17"/>
        </w:rPr>
      </w:pPr>
    </w:p>
    <w:p ns2:paraId="0A9B4495" ns2:textId="77777777" w:rsidR="008B49EB" w:rsidRDefault="008B49EB">
      <w:pPr>
        <w:spacing w:after="50"/>
        <w:ind w:left="360" w:hanging="360"/>
        <w:rPr>
          <w:rFonts w:eastAsia="Aptos"/>
          <w:sz w:val="17"/>
        </w:rPr>
      </w:pPr>
    </w:p>
    <w:p ns2:paraId="01A2B850" ns2:textId="77777777" w:rsidR="008B49EB" w:rsidRDefault="008B49EB">
      <w:pPr>
        <w:spacing w:after="50"/>
        <w:ind w:left="360" w:hanging="360"/>
        <w:rPr>
          <w:rFonts w:eastAsia="Aptos"/>
          <w:sz w:val="17"/>
        </w:rPr>
      </w:pPr>
    </w:p>
    <w:p ns2:paraId="2063F30D" ns2:textId="77777777" w:rsidR="00423ADE" w:rsidRDefault="00000000">
      <w:pPr>
        <w:pStyle w:val="Heading1"/>
      </w:pPr>
      <w:r>
        <w:t>Supporting information</w:t>
      </w:r>
    </w:p>
    <w:p>
      <w:pPr>
        <w:pStyle w:val="Caption"/>
      </w:pPr>
      <w:r>
        <w:t>S1 Table. Benchmark cohort, evidence and comparator tables.</w:t>
      </w:r>
    </w:p>
    <w:p>
      <w:pPr>
        <w:pStyle w:val="Caption"/>
      </w:pPr>
      <w:r>
        <w:t>S2 Table. Operating points, evidence states and robustness tables.</w:t>
      </w:r>
    </w:p>
    <w:p>
      <w:pPr>
        <w:pStyle w:val="Caption"/>
      </w:pPr>
      <w:r>
        <w:t>S3 Table. Committed structural expectations with their evidence basis and citation.</w:t>
      </w:r>
    </w:p>
    <w:p>
      <w:pPr>
        <w:pStyle w:val="Caption"/>
      </w:pPr>
      <w:r>
        <w:t>S1 Text. Implementation details, statistical conventions and evidence provenance.</w:t>
      </w:r>
    </w:p>
    <w:p>
      <w:pPr>
        <w:pStyle w:val="Caption"/>
      </w:pPr>
      <w:r>
        <w:t>S2 Text. Sensitivity analyses, mechanism-class decomposition and operating-point diagnostics.</w:t>
      </w:r>
    </w:p>
    <w:p>
      <w:pPr>
        <w:pStyle w:val="Caption"/>
      </w:pPr>
      <w:r>
        <w:t>S3 Text. Pathogenicity comparison, robustness, independent validation and a self-caught ground-truth error.</w:t>
      </w:r>
    </w:p>
    <w:p>
      <w:pPr>
        <w:pStyle w:val="Caption"/>
      </w:pPr>
      <w:r>
        <w:t>S1 Fig. Benchmark stress tests for whole-variant mechanism-pattern agreement.</w:t>
      </w:r>
    </w:p>
    <w:p>
      <w:pPr>
        <w:pStyle w:val="Caption"/>
      </w:pPr>
      <w:r>
        <w:t>S2 Fig. Independent binding-axis validation on SKEMPI 2.0.</w:t>
      </w:r>
    </w:p>
    <w:p>
      <w:pPr>
        <w:pStyle w:val="Caption"/>
      </w:pPr>
      <w:r>
        <w:t>S3 Fig. Structural-context comparator performance on the 47-variant population.</w:t>
      </w:r>
    </w:p>
    <w:p>
      <w:pPr>
        <w:pStyle w:val="Caption"/>
      </w:pPr>
      <w:r>
        <w:t>S4 Fig. Priority-score transformation and component ranking.</w:t>
      </w:r>
    </w:p>
    <w:sectPr w:rsidR="00423ADE">
      <w:headerReference w:type="default" r:id="rId21"/>
      <w:footerReference w:type="default" r:id="rId22"/>
      <w:pgSz w:w="12240" w:h="15840"/>
      <w:pgMar w:top="1037" w:right="1123" w:bottom="1037" w:left="1123"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480"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