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S1 Text. Implementation details, statistical conventions and evidence provenance.</w:t>
      </w:r>
    </w:p>
    <w:p>
      <w:r>
        <w:rPr>
          <w:i/>
        </w:rPr>
        <w:t>This file consolidates 2 supplementary notes from the reviewed manuscript into one supporting-information item. Section numbers below are local to this file. The item name each section carried in the reviewed manuscript is given in the contents list, so a reader holding the earlier version can locate any passage.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Title</w:t>
            </w:r>
          </w:p>
        </w:tc>
        <w:tc>
          <w:tcPr>
            <w:tcW w:type="dxa" w:w="2880"/>
          </w:tcPr>
          <w:p>
            <w:r>
              <w:rPr>
                <w:b/>
              </w:rPr>
              <w:t>Item name in the reviewed manuscript</w:t>
            </w:r>
          </w:p>
        </w:tc>
      </w:tr>
      <w:tr>
        <w:tc>
          <w:tcPr>
            <w:tcW w:type="dxa" w:w="2880"/>
          </w:tcPr>
          <w:p>
            <w:r>
              <w:t>Section 1</w:t>
            </w:r>
          </w:p>
        </w:tc>
        <w:tc>
          <w:tcPr>
            <w:tcW w:type="dxa" w:w="2880"/>
          </w:tcPr>
          <w:p>
            <w:r>
              <w:t>Implementation details and statistical conventions</w:t>
            </w:r>
          </w:p>
        </w:tc>
        <w:tc>
          <w:tcPr>
            <w:tcW w:type="dxa" w:w="2880"/>
          </w:tcPr>
          <w:p>
            <w:r>
              <w:t>S1 Text</w:t>
            </w:r>
          </w:p>
        </w:tc>
      </w:tr>
      <w:tr>
        <w:tc>
          <w:tcPr>
            <w:tcW w:type="dxa" w:w="2880"/>
          </w:tcPr>
          <w:p>
            <w:r>
              <w:t>Section 2</w:t>
            </w:r>
          </w:p>
        </w:tc>
        <w:tc>
          <w:tcPr>
            <w:tcW w:type="dxa" w:w="2880"/>
          </w:tcPr>
          <w:p>
            <w:r>
              <w:t>Evidence provenance and denominator sensitivity</w:t>
            </w:r>
          </w:p>
        </w:tc>
        <w:tc>
          <w:tcPr>
            <w:tcW w:type="dxa" w:w="2880"/>
          </w:tcPr>
          <w:p>
            <w:r>
              <w:t>S2 Text</w:t>
            </w:r>
          </w:p>
        </w:tc>
      </w:tr>
    </w:tbl>
    <w:p>
      <w:r>
        <w:rPr>
          <w:b/>
        </w:rPr>
        <w:t>Section 1. Implementation details and statistical conventions</w:t>
      </w:r>
    </w:p>
    <w:p>
      <w:r>
        <w:t>Each structural context was repaired once and cached. Variants were specified in FoldX notation. BuildModel was run five times on both isolated and assembled coordinates, and AnalyzeComplex was applied pairwise to each resulting mutant complex. Beyond the command, input, replicate count, partner chains, and output directory, no FoldX energy-function parameter was overridden.</w:t>
      </w:r>
    </w:p>
    <w:p>
      <w:r>
        <w:t>foldx --command=RepairPDB --pdb=&lt;structure&gt; --output-dir=&lt;workdir&gt;</w:t>
      </w:r>
    </w:p>
    <w:p>
      <w:r>
        <w:t>foldx --command=BuildModel --pdb=&lt;repaired&gt; --mutant-file=individual_list.txt --numberOfRuns=5 --output-dir=&lt;workdir&gt;</w:t>
      </w:r>
    </w:p>
    <w:p>
      <w:r>
        <w:t>foldx --command=AnalyzeComplex --pdb=&lt;mutant_complex&gt; --analyzeComplexChains=&lt;chainA&gt;,&lt;chainB&gt; --output-dir=&lt;workdir&gt;</w:t>
      </w:r>
    </w:p>
    <w:p>
      <w:r>
        <w:t>The mutant-minus-wild-type ΔΔG was read from FoldX outputs. Wild-type interaction energy was computed once per partner pair, and mutant interaction energy was computed on each of the five BuildModel replicates. Partner-level binding ΔΔG is the mean of IE(mutant) - IE(wild type); replicate standard deviation is retained.</w:t>
      </w:r>
    </w:p>
    <w:p>
      <w:r>
        <w:t>Structural-context tier implementation. The raw score is Grantham substitution severity [53] multiplied by the sum of monomer contacts and the maximum confidence-passing inter-chain contact count, plus an interface bonus (1.5 for one partner; 2.0 for at least two) and a burial bonus (1.0 for partial burial; 2.0 for a buried core position). The result is multiplied by 1.0 for pLDDT at least 70, 0.7 for pLDDT 50-70, and 0.4 below 50; experimental structures bypass this attenuation. Fixed cutoffs assign Tier 1 at s at least 5.0, Tier 2 at 3.0 to less than 5.0, Tier 3 at 1.5 to less than 3.0, and Tier 4 below 1.5.</w:t>
      </w:r>
    </w:p>
    <w:p>
      <w:r>
        <w:rPr>
          <w:b/>
        </w:rPr>
        <w:t>Section 2. Evidence provenance and denominator sensitivity</w:t>
      </w:r>
    </w:p>
    <w:p>
      <w:r>
        <w:t>The evidence ledger contains 98 committed energetic-axis expectations. E1-E3 expectations are supported by energetic, functional, or qualitative experiments. E4 denotes population-supported neutral expectations. E5 denotes an inferred axis state used when the literature supported a mechanistic or retained-function interpretation but no axis-specific assay was available; inference was not assigned from missing data alone. E4 and E5 commitments are heavily enriched for neutral expectations: all 9 E4 axes and all 18 E5 axes are neutral. Complex-context stability is the least independently grounded axis: 14 of its 25 committed axes rest on inferred rather than direct or coupled evidence, and 11 are E5 inferred axis states.</w:t>
      </w:r>
    </w:p>
    <w:p>
      <w:r>
        <w:t>Using the all-row 78-axis convention, energetic-output agreement was 20/32 = 0.625 for E1-E2 evidence and 38/46 = 0.826 for E3-E5 evidence (Fisher p = 0.065). Evidence class was strongly associated with expected axis state: direct measurements were preferentially available for destabilizers, whereas frequency-supported and inferred commitments were predominantly neutral. Within expected-destabilizing axes, agreement was 14/24 for E1-E2 and 4/6 for E3-E5; within expected-neutral axes, the corresponding rates were 6/7 and 34/40. The continuity-corrected Mantel-Haenszel estimate across expected-state strata was odds ratio 0.83 (p = 0.92). Thus the current benchmark does not show that evidence category independently explains energetic-output agreement after expected axis state is considered. Among 25 gradeable E1 energetic axes, 18 agreed (0.720).</w:t>
      </w:r>
    </w:p>
    <w:p>
      <w:r>
        <w:t>Strict variant-level sensitivity analyses used all-axis definitions. Requiring every committed axis to have E1-E3 support left n = 26, 13 structural and 13 no-lesion (tier sensitivity 1.000, 95% CI 0.753-1.000; specificity 0.615, 0.316-0.861). Requiring every committed axis to be direct or coupled left the same 26 variants and returned the same values. Complete recovery here rests on 13 positives, so the interval is wide; it is reported because the restriction is a sensitivity view of the full-tier screen, which recovers all 17 positives on the whole subset.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