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p>
      <w:r>
        <w:rPr>
          <w:i/>
        </w:rPr>
        <w:t>This file consolidates 5 supplementary notes from the reviewed manuscript into one supporting-information item. Section numbers below are local to this file. The item name each section carried in the reviewed manuscript is given in the contents list, so a reader holding the earlier version can locate any passage.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Title</w:t>
            </w:r>
          </w:p>
        </w:tc>
        <w:tc>
          <w:tcPr>
            <w:tcW w:type="dxa" w:w="2880"/>
          </w:tcPr>
          <w:p>
            <w:r>
              <w:rPr>
                <w:b/>
              </w:rPr>
              <w:t>Item name in the reviewed manuscript</w:t>
            </w:r>
          </w:p>
        </w:tc>
      </w:tr>
      <w:tr>
        <w:tc>
          <w:tcPr>
            <w:tcW w:type="dxa" w:w="2880"/>
          </w:tcPr>
          <w:p>
            <w:r>
              <w:t>Section 1</w:t>
            </w:r>
          </w:p>
        </w:tc>
        <w:tc>
          <w:tcPr>
            <w:tcW w:type="dxa" w:w="2880"/>
          </w:tcPr>
          <w:p>
            <w:r>
              <w:t>Pathogenicity comparison, directional enrichment, and gain of function</w:t>
            </w:r>
          </w:p>
        </w:tc>
        <w:tc>
          <w:tcPr>
            <w:tcW w:type="dxa" w:w="2880"/>
          </w:tcPr>
          <w:p>
            <w:r>
              <w:t>S6 Text</w:t>
            </w:r>
          </w:p>
        </w:tc>
      </w:tr>
      <w:tr>
        <w:tc>
          <w:tcPr>
            <w:tcW w:type="dxa" w:w="2880"/>
          </w:tcPr>
          <w:p>
            <w:r>
              <w:t>Section 2</w:t>
            </w:r>
          </w:p>
        </w:tc>
        <w:tc>
          <w:tcPr>
            <w:tcW w:type="dxa" w:w="2880"/>
          </w:tcPr>
          <w:p>
            <w:r>
              <w:t>Robustness, uncertainty, and metric reconciliation</w:t>
            </w:r>
          </w:p>
        </w:tc>
        <w:tc>
          <w:tcPr>
            <w:tcW w:type="dxa" w:w="2880"/>
          </w:tcPr>
          <w:p>
            <w:r>
              <w:t>S7 Text</w:t>
            </w:r>
          </w:p>
        </w:tc>
      </w:tr>
      <w:tr>
        <w:tc>
          <w:tcPr>
            <w:tcW w:type="dxa" w:w="2880"/>
          </w:tcPr>
          <w:p>
            <w:r>
              <w:t>Section 3</w:t>
            </w:r>
          </w:p>
        </w:tc>
        <w:tc>
          <w:tcPr>
            <w:tcW w:type="dxa" w:w="2880"/>
          </w:tcPr>
          <w:p>
            <w:r>
              <w:t>Independent binding-axis validation on SKEMPI 2.0</w:t>
            </w:r>
          </w:p>
        </w:tc>
        <w:tc>
          <w:tcPr>
            <w:tcW w:type="dxa" w:w="2880"/>
          </w:tcPr>
          <w:p>
            <w:r>
              <w:t>S8 Text</w:t>
            </w:r>
          </w:p>
        </w:tc>
      </w:tr>
      <w:tr>
        <w:tc>
          <w:tcPr>
            <w:tcW w:type="dxa" w:w="2880"/>
          </w:tcPr>
          <w:p>
            <w:r>
              <w:t>Section 4</w:t>
            </w:r>
          </w:p>
        </w:tc>
        <w:tc>
          <w:tcPr>
            <w:tcW w:type="dxa" w:w="2880"/>
          </w:tcPr>
          <w:p>
            <w:r>
              <w:t>Do high-priority variants also have their mechanism graded correctly?</w:t>
            </w:r>
          </w:p>
        </w:tc>
        <w:tc>
          <w:tcPr>
            <w:tcW w:type="dxa" w:w="2880"/>
          </w:tcPr>
          <w:p>
            <w:r>
              <w:t>S9 Text</w:t>
            </w:r>
          </w:p>
        </w:tc>
      </w:tr>
      <w:tr>
        <w:tc>
          <w:tcPr>
            <w:tcW w:type="dxa" w:w="2880"/>
          </w:tcPr>
          <w:p>
            <w:r>
              <w:t>Section 5</w:t>
            </w:r>
          </w:p>
        </w:tc>
        <w:tc>
          <w:tcPr>
            <w:tcW w:type="dxa" w:w="2880"/>
          </w:tcPr>
          <w:p>
            <w:r>
              <w:t>A correction the benchmark caught in itself</w:t>
            </w:r>
          </w:p>
        </w:tc>
        <w:tc>
          <w:tcPr>
            <w:tcW w:type="dxa" w:w="2880"/>
          </w:tcPr>
          <w:p>
            <w:r>
              <w:t>S10 Text</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92/124 = 0.742 at 2.5 and 90/124 = 0.726 at tSAP. The all-row denominator audit is 92/125 = 0.736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[56]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