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in the isolated subunit and again in the assembled complex, giving three predicted energy changes: stability in each context, and binding to each partner. With a structural-context tier, these yield two outputs: a priority score that ranks variants for structural follow-up, and a mechanism profile that names which processes are disrupted and therefore which experiments would test them.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the isolated subunit alone detected 7 of the 29 variants carrying a committed structural mechanism, the three axes together detected 20, and the cost was three further calls among 27 no-lesion variants. The mechanism-pattern score was 0.661 against 0.482 for the strongest trivial strategy, but the axis the literature implicates reached the threshold for only 15 of the 29, so COMAVI detects structural disruption more reliably than it localizes it. Both results were stable across the prespecified range of thresholds. Against direct measurements the predicted energies ordered effects correctly but compressed their size, and the priority score placed 17 of the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genetic change can make the protein itself unstable, or leave it folded but weaken its grip on a partner, and the two are tested differently. Our method evaluates each change twice, in the protein alone and in the assembled group, to tell them apart. We tested it on 61 genetic changes in 14 protein systems, each one chosen because published experiments have already established what it does.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for complexes that have not been solved experimentally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Finally,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combined with isolated and assembled structural models yields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Neither output takes a clinical classification or any other pathogenicity evidence as input; both are computed from structure alone.</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whose published mechanism does not resolve to a single axis. Each variant is scored on three axes, meaning three independent predicted energy changes: stability of the isolated subunit, meaning the one protein chain taken out of its complex rather than a single residue; stability of that same chain within the assembled complex; and binding energy to each partner. For each variant, the primary literature defines the expected direction on each applicable axis [25–60].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four no-lesion variants whose mechanism lies outside those axes, only at the whole-variant level, where the expectation is that no modeled axis is disrupted. Pathogenic counts clinical annotations, which are independent of the mechanism ground truth and are not used in any mechanism metric; the BRCT variants carry no clinical label (–). Experimental structures are identified by their Protein Data Bank (PDB) entries [61–66];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10 graded variants outside it are the BRCT variants, which have no partner chain and therefore no tier: 8 of them fold mechanisms, which is why the 21 structural mechanisms here are a subset of the 29, and 2 no-lesion variants, which is why 25 rather than 27. Variant counts below refer to these populations by name.</w:t>
      </w:r>
    </w:p>
    <w:p>
      <w:r>
        <w:t>Four graded no-lesion variants carry no committed expectation on any individual axis: CALM1 D96V, N98S and F142L, which act through altered calcium binding [29,30], and SMAD4 I500T, which acts through impaired monoubiquitination [45]. Their mechanisms lie outside the modeled axes, so they are graded at the whole-variant level as no-lesion variants. Throughout, a no-lesion commitment records that no axis-specific assay in the primary literature supports a lesion on that axis; it does not record that a structural effect was measured and excluded. S1 Table lists their basis and sources, and the analyses below report the effect of removing them.</w:t>
      </w:r>
    </w:p>
    <w:p>
      <w:r>
        <w:t>Evidence quality differs by direction, because a disruptive effect is far more often followed up with a dedicated biophysical measurement than a normal one is. Of the 42 expectations supported by quantitative evidence (classes E1 and E2; Methods), 28 are destabilizing; of the 57 supported by qualitative, population or inferred evidence (classes E3, E4 and E5 respectively), 8 are. All 9 in the population class and all 18 in the inferred class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two of the fold mechanisms, and they come from 7 of the 13 complexes rather than from one or two. Restricting to the 21 structural mechanisms that sit in a complex, where the assembled axes can apply at all, the contrast is starker: the isolated-subunit axis reaches the threshold for 2 of them against 15 for the three axes together.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examples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[53]. Von Willebrand factor R1334Q leaves the isolated A1 domain unchanged (0.01 kcal/mol) but weakens binding to GPIbα by 4.11 kcal/mol; the purified A1 domain is natively folded, binds GPIbα weakly and supports little platelet adhesion [54]. A calculation on the isolated subunit alone would call both variants silent. Weakening an interface does lower the energy of the assembled complex, which is why the two assembled axes are computed separately: BuildModel reports the fold energy of the chain within the complex and AnalyseComplex the interaction energy between chains, so a fold change localized to the interface is not read as a binding change. In both, however, the assembled-complex stability axis also reaches the threshold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0.448</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limit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15 (attribution, 0.517).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reached the threshold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committed axes overall, not variants),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[55],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limit (Methods), the mechanism-pattern score was 0.562, 0.616, 0.652, 0.661 and 0.652. The 2.5 kcal/mol reference is the highest of the five on this cohort, as it is for the unweighted mean of the two arms. The system-resampling intervals overlap at every threshold, however (Fig 2A), so the benchmark does not establish it as an optimum.</w:t>
      </w:r>
    </w:p>
    <w:p>
      <w:pPr>
        <w:jc w:val="center"/>
      </w:pPr>
      <w:r>
        <w:drawing>
          <wp:inline>
            <wp:extent cx="5757683"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757683"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limit (2.9, 2.9 and 3.5 kcal/mol for isolated-subunit stability, assembled-complex stability and binding); the dashed line marks the 2.5 kcal/mol reference. Throughout, red marks quantities measured on the 29 structural-mechanism variants and gray those measured on the 27 no-lesion variants. (A) Mechanism-pattern score, pooled (gray band, 95% interval from resampling the 14 systems) and for each arm. (B) Detection, attribution and correct rejection for the 29 structural-mechanism and 27 no-lesion variants. (C) Direction agreement on each axis (26 isolated-subunit, 22 assembled-complex and 29 binding expectations); open circles mark the best value for each axis. (D) Measured destabilizations of at least 1.0 kcal/mol (n = 42) predicted at or above the threshold with the same sign.</w:t>
      </w:r>
    </w:p>
    <w:p>
      <w:r>
        <w:t>Raising the threshold changed the three binary rates in different ways. Detection was nearly flat: at least one axis reached the threshold for 24 of the 29 mechanisms at 1.0 kcal/mol, for 21 at 1.5 and 2.0, for 20 at 2.5 and for 18 at the prediction-interval limit. Attribution fell at every step, from 18 to 17, 16, 15 and 13.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2B and 2C).</w:t>
      </w:r>
    </w:p>
    <w:p>
      <w:r>
        <w:t>The three axes prefer different thresholds (Fig 2C).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and they recover part of the interface shortfall but cannot close it. Holding the two stability axes at the reference and lowering the binding threshold to 1.5 kcal/mol raises attribution from 15 of 29 to 17 and interface attribution from 4 of 12 to 6, at a cost of 2 correct rejections; because that operating point is chosen on the same variants, the gain is an upper bound. The limit is not where the threshold sits: 6 of the 12 interface mechanisms carry a predicted binding energy below 1.0 kcal/mol, the most permissive threshold in the prespecified range, with a median of 0.14, so no placement of a binding threshold reaches them. For those variants the predicted energy is near zero where the literature reports a disrupted interface, which locates the shortfall in the energy prediction rather than in the calling layer.</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prediction-interval limit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[67], 10 unfolding free energies for the BRCA1 BRCT domain [24] and 5 hemoglobin assembly energies [56–58]. Predicted and measured values were rank-correlated (Spearman ρ = 0.47, p = 1.1 × 10</w:t>
      </w:r>
      <w:r>
        <w:rPr>
          <w:vertAlign w:val="superscript"/>
        </w:rPr>
        <w:t>−4</w:t>
      </w:r>
      <w:r>
        <w:t>), but the fitted slope was 0.41 (Fig 3A), and the prediction error became more negative as the measured effect grew (ρ = −0.67; Fig 3B).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Glu73 is barnase's catalytic general base, buried and unusually strained in the wild-type fold; FoldX scores the relief of that strain as a stabilization while the measurements register the loss of the catalytic arrangement, so the sign disagreement is a property of this site rather than of the substitutions.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reaches the threshold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separated the two classes (Fig 4A) and placed 9 of the 21 structural mechanisms in the top 10 and 17 in the top 20, with no further recovery by rank 25 (Fig 4B).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each row is one class and points are spread vertically within a row only so that they do not overlap.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[41]. For R755W the literature reports reduced abundance with binding preserved [32,37],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Ten of the 11 benign variants in this set entered the benchmark as curated no-lesion controls, so any structural score separates them from pathogenic structural mechanisms partly by construction, and a pathogenicity AUC computed here measures the cohort as much as the method. The exception is informative: MLH1 H718Y is clinically benign and carries a committed monomer-fold destabilization, because the source reports reduced thermal stability and a half-life of 64% of wild type alongside proficient mismatch repair. A variant can be structurally destabilized and clinically neutral at once, which is the separation the two outputs are meant to preserve.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though a disrupted structure is not by itself evidence of disease,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limit suits settings where a false mechanistic claim is costly. These thresholds separate curated mechanisms from no-lesion variants, a different question from the 3 kcal/mol cut-off that MAVISp and related MLH1 studies use to predict cellular degradation [15,68,69].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[70].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[71];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[3,72,73].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[74,75]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[76].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[77],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[71].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limit. The limit takes, separately for each axis, the upper edge of the 95% prediction interval fitted to FoldX folding and binding predictions [71]: 2.9 kcal/mol for isolated-subunit stability, 2.9 for assembled-complex stability and 3.5 for binding. A call that survives that limit is unlikely to arise from prediction error alone. The released software uses 1.0 kcal/mol as a screening default, and 2.5 kcal/mol is the benchmark reference. S3 Table (threshold_sweep sheet) reports post hoc points above that limit.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Hinrichsen I, Brieger A, Trojan J, Zeuzem S, Nilbert M, Plotz G. Expression defect size among unclassified MLH1 variants determines pathogenicity in Lynch syndrome diagnosis. Clin Cancer Res. 2013;19(9):2432–2441. doi:10.1158/1078-0432.CCR-12-3299</w:t>
      </w:r>
    </w:p>
    <w:p>
      <w:r>
        <w:t>34. Raevaara TE, Korhonen MK, Lohi H, Hampel H, Lynch E, Lönnqvist KE, et al. Functional significance and clinical phenotype of nontruncating mismatch repair variants of MLH1. Gastroenterology. 2005;129(2):537–549. doi:10.1053/j.gastro.2005.06.005</w:t>
      </w:r>
    </w:p>
    <w:p>
      <w:r>
        <w:t>35. Drost M, Tiersma Y, Thompson BA, Frederiksen JH, Keijzers G, Glubb D, et al. A functional assay-based procedure to classify mismatch repair gene variants in Lynch syndrome. Genet Med. 2019;21(7):1486–1496. doi:10.1038/s41436-018-0372-2</w:t>
      </w:r>
    </w:p>
    <w:p>
      <w:r>
        <w:t>36. Thompson BA, Spurdle AB, Plazzer JP, Greenblatt MS, Akagi K, Al-Mulla F, et al. Application of a 5-tiered scheme for standardized classification of 2,360 unique mismatch repair gene variants in the InSiGHT locus-specific database. Nat Genet. 2014;46(2):107–115. doi:10.1038/ng.2854</w:t>
      </w:r>
    </w:p>
    <w:p>
      <w:r>
        <w:t>37. Larsen-Ledet S, Panfilova A, Stein A. Disentangling the mutational effects on protein stability and interaction of human MLH1. PLoS Genet. 2025;21(4):e1011681. doi:10.1371/journal.pgen.1011681</w:t>
      </w:r>
    </w:p>
    <w:p>
      <w:r>
        <w:t>38. Ollila S, Sarantaus L, Kariola R, Chan P, Hampel H, Holinski–Feder E, et al. Pathogenicity of MSH2 missense mutations is typically associated with impaired repair capability of the mutated protein. Gastroenterology. 2006;131(5):1408–1417. doi:10.1053/j.gastro.2006.08.044</w:t>
      </w:r>
    </w:p>
    <w:p>
      <w:r>
        <w:t>39. Ollila S, Dermadi Bebek D, Jiricny J, Nyström M. Mechanisms of pathogenicity in human MSH2 missense mutants. Hum Mutat. 2008;29(11):1355–1363. doi:10.1002/humu.20893</w:t>
      </w:r>
    </w:p>
    <w:p>
      <w:r>
        <w:t>40. Jia X, Burugula BB, Chen V, Lemons RM, Jayakody S, Maksutova M, et al. Massively parallel functional testing of MSH2 missense variants conferring Lynch syndrome risk. Am J Hum Genet. 2021;108(1):163–175. doi:10.1016/j.ajhg.2020.12.003</w:t>
      </w:r>
    </w:p>
    <w:p>
      <w:r>
        <w:t>41. Zhao L, Vogt PK. Helical domain and kinase domain mutations in p110α of phosphatidylinositol 3-kinase induce gain of function by different mechanisms. Proc Natl Acad Sci USA. 2008;105(7):2652–2657. doi:10.1073/pnas.0712169105</w:t>
      </w:r>
    </w:p>
    <w:p>
      <w:r>
        <w:t>42. Mandelker D, Gabelli SB, Schmidt-Kittler O, Zhu J, Cheong I, Huang CH, et al. A frequent kinase domain mutation that changes the interaction between PI3Kα and the membrane. Proc Natl Acad Sci USA. 2009;106(40):16996–17001. doi:10.1073/pnas.0908444106</w:t>
      </w:r>
    </w:p>
    <w:p>
      <w:r>
        <w:t>43. Jaiswal BS, Janakiraman V, Kljavin NM, Chaudhuri S, Stern HM, Wang W, et al. Somatic mutations in p85α promote tumorigenesis through class IA PI3K activation. Cancer Cell. 2009;16(6):463–474. doi:10.1016/j.ccr.2009.10.016</w:t>
      </w:r>
    </w:p>
    <w:p>
      <w:r>
        <w:t>44. De Bosscher K, Hill CS, Nicolás FJ. Molecular and functional consequences of Smad4 C-terminal missense mutations in colorectal tumour cells. Biochem J. 2004;379(Pt 1):209–216. doi:10.1042/bj20031886</w:t>
      </w:r>
    </w:p>
    <w:p>
      <w:r>
        <w:t>45. Le Goff C, Mahaut C, Abhyankar A, Le Goff W, Serre V, Afenjar A, et al. Mutations at a single codon in Mad homology 2 domain of SMAD4 cause Myhre syndrome. Nat Genet. 2012;44(1):85–88. doi:10.1038/ng.1016</w:t>
      </w:r>
    </w:p>
    <w:p>
      <w:r>
        <w:t>46. Lindsay ME, Scimone ER, Lawton J, Richa R, Yonker LM, Di YP, et al. Gain-of-function variants in SMAD4 compromise respiratory epithelial function. J Allergy Clin Immunol. 2025;155(1):107–119.e2. doi:10.1016/j.jaci.2024.08.024</w:t>
      </w:r>
    </w:p>
    <w:p>
      <w:r>
        <w:t>47. Lanauze CB, Sehgal P, Hayer K, Torres-Diz M, Pippin JA, Grant SFA, et al. Colorectal cancer-associated Smad4 R361 hotspot mutations boost Wnt/β-catenin signaling through enhanced Smad4-LEF1 binding. Mol Cancer Res. 2021;19(5):823–833. doi:10.1158/1541-7786.MCR-20-0721</w:t>
      </w:r>
    </w:p>
    <w:p>
      <w:r>
        <w:t>48. Elliott K, Watkins H, Redwood CS. Altered regulatory properties of human cardiac troponin I mutants that cause hypertrophic cardiomyopathy. J Biol Chem. 2000;275(29):22069–22074. doi:10.1074/jbc.M002502200</w:t>
      </w:r>
    </w:p>
    <w:p>
      <w:r>
        <w:t>49. Frazier A, Judge DP, Schulman SP, Johnson N, Holmes KW, Murphy AM. Familial hypertrophic cardiomyopathy associated with cardiac β-myosin heavy chain and troponin I mutations. Pediatr Cardiol. 2008;29(4):846–850. doi:10.1007/s00246-007-9177-9</w:t>
      </w:r>
    </w:p>
    <w:p>
      <w:r>
        <w:t>50. Takahashi-Yanaga F, Morimoto S, Harada K, Minakami R, Shiraishi F, Ohta M, et al. Functional consequences of the mutations in human cardiac troponin I gene found in familial hypertrophic cardiomyopathy. J Mol Cell Cardiol. 2001;33(12):2095–2107. doi:10.1006/jmcc.2001.1473</w:t>
      </w:r>
    </w:p>
    <w:p>
      <w:r>
        <w:t>51. Stebbins CE, Kaelin WG Jr, Pavletich NP. Structure of the VHL-ElonginC-ElonginB complex: implications for VHL tumor suppressor function. Science. 1999;284(5413):455–461. doi:10.1126/science.284.5413.455</w:t>
      </w:r>
    </w:p>
    <w:p>
      <w:r>
        <w:t>52. Ohh M, Park CW, Ivan M, Hoffman MA, Kim TY, Huang LE, et al. Ubiquitination of hypoxia-inducible factor requires direct binding to the β-domain of the von Hippel-Lindau protein. Nat Cell Biol. 2000;2(7):423–427. doi:10.1038/35017054</w:t>
      </w:r>
    </w:p>
    <w:p>
      <w:r>
        <w:t>53. Pechtl IC, Kavanagh D, McIntosh N, Harris CL, Barlow PN. Disease-associated N-terminal complement factor H mutations perturb cofactor and decay-accelerating activities. J Biol Chem. 2011;286(13):11082–11090. doi:10.1074/jbc.M110.211839</w:t>
      </w:r>
    </w:p>
    <w:p>
      <w:r>
        <w:t>54. Tischer A, Moon-Tasson L, Auton M. Structure-resolved dynamics of type 2M von Willebrand disease. J Thromb Haemost. 2025;23(4):1215–1228. doi:10.1016/j.jtha.2024.12.026</w:t>
      </w:r>
    </w:p>
    <w:p>
      <w:r>
        <w:t>55. Eaton WA, Hofrichter J. Sickle cell hemoglobin polymerization. Adv Protein Chem. 1990;40:63–279. doi:10.1016/S0065-3233(08)60287-9</w:t>
      </w:r>
    </w:p>
    <w:p>
      <w:r>
        <w:t>56. Kiger L, Klinger AL, Kwiatkowski LD, De Young A, Doyle ML, Holt JM, et al. Thermodynamic studies on the equilibrium properties of a series of recombinant βW37 hemoglobin mutants. Biochemistry. 1998;37(13):4336–4345. doi:10.1021/bi970868a</w:t>
      </w:r>
    </w:p>
    <w:p>
      <w:r>
        <w:t>57. Kwiatkowski LD, Hui HL, Wierzba A, Noble RW, Walder RY, Peterson ES, et al. Preparation and kinetic characterization of a series of βW37 variants of human hemoglobin A: evidence for high-affinity T quaternary structures. Biochemistry. 1998;37(13):4325–4335. doi:10.1021/bi970866q</w:t>
      </w:r>
    </w:p>
    <w:p>
      <w:r>
        <w:t>58. Bonaventura J, Riggs A. Hemoglobin Kansas, a human hemoglobin with a neutral amino acid substitution and an abnormal oxygen equilibrium. J Biol Chem. 1968;243(5):980–991. doi:10.1016/S0021-9258(18)93612-4</w:t>
      </w:r>
    </w:p>
    <w:p>
      <w:r>
        <w:t>59. Karczewski KJ, Francioli LC, Tiao G, Cummings BB, Alföldi J, Wang Q, et al. The mutational constraint spectrum quantified from variation in 141,456 humans. Nature. 2020;581(7809):434–443. doi:10.1038/s41586-020-2308-7</w:t>
      </w:r>
    </w:p>
    <w:p>
      <w:r>
        <w:t>60. Landrum MJ, Lee JM, Benson M, Brown GR, Chao C, Chitipiralla S, et al. ClinVar: improving access to variant interpretations and supporting evidence. Nucleic Acids Res. 2018;46(D1):D1062–D1067. doi:10.1093/nar/gkx1153</w:t>
      </w:r>
    </w:p>
    <w:p>
      <w:r>
        <w:t>61. Williams RS, Green R, Glover JN. Crystal structure of the BRCT repeat region from the breast cancer-associated protein BRCA1. Nat Struct Biol. 2001;8(10):838–842. doi:10.1038/nsb1001-838</w:t>
      </w:r>
    </w:p>
    <w:p>
      <w:r>
        <w:t>62. Brzovic PS, Rajagopal P, Hoyt DW, King MC, Klevit RE. Structure of a BRCA1-BARD1 heterodimeric RING-RING complex. Nat Struct Biol. 2001;8(10):833–837. doi:10.1038/nsb1001-833</w:t>
      </w:r>
    </w:p>
    <w:p>
      <w:r>
        <w:t>63. Wu J, Wu YQ, Ricklin D, Janssen BJC, Lambris JD, Gros P. Structure of complement fragment C3b-factor H and implications for host protection by complement regulators. Nat Immunol. 2009;10(7):728–733. doi:10.1038/ni.1755</w:t>
      </w:r>
    </w:p>
    <w:p>
      <w:r>
        <w:t>64. Fermi G, Perutz MF, Shaanan B, Fourme R. The crystal structure of human deoxyhaemoglobin at 1.74 Å resolution. J Mol Biol. 1984;175(2):159–174. doi:10.1016/0022-2836(84)90472-8</w:t>
      </w:r>
    </w:p>
    <w:p>
      <w:r>
        <w:t>65. Tran TH, Chan AH, Young LC, Bindu L, Neale C, Messing S, et al. KRAS interaction with RAF1 RAS-binding domain and cysteine-rich domain provides insights into RAS-mediated RAF activation. Nat Commun. 2021;12(1):1176. doi:10.1038/s41467-021-21422-x</w:t>
      </w:r>
    </w:p>
    <w:p>
      <w:r>
        <w:t>66.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67. Jankauskaitė J, Jiménez-García B, Dapkūnas J, Fernández-Recio J, Moal IH. SKEMPI 2.0: an updated benchmark of changes in protein–protein binding energy, kinetics and thermodynamics upon mutation. Bioinformatics. 2019;35(3):462–469. doi:10.1093/bioinformatics/bty635</w:t>
      </w:r>
    </w:p>
    <w:p>
      <w:r>
        <w:t>68. Abildgaard AB, Stein A, Nielsen SV, Schultz-Knudsen K, Papaleo E, Shrikhande A, et al. Computational and cellular studies reveal structural destabilization and degradation of MLH1 variants in Lynch syndrome. eLife. 2019;8:e49138. doi:10.7554/eLife.49138</w:t>
      </w:r>
    </w:p>
    <w:p>
      <w:r>
        <w:t>69. Nielsen SV, Stein A, Dinitzen AB, Papaleo E, Tatham MH, Poulsen EG, et al. Predicting the impact of Lynch syndrome-causing missense mutations from structural calculations. PLoS Genet. 2017;13(4):e1006739. doi:10.1371/journal.pgen.1006739</w:t>
      </w:r>
    </w:p>
    <w:p>
      <w:r>
        <w:t>70. Franklin by Genoox [Internet]. Genoox; c2026 [cited 2026 Oct 07]. Available from: https://franklin.genoox.com</w:t>
      </w:r>
    </w:p>
    <w:p>
      <w:r>
        <w:t>71. Sapozhnikov Y, Patel JS, Ytreberg FM, Miller CR. Statistical modeling to quantify the uncertainty of FoldX-predicted protein folding and binding stability. BMC Bioinformatics. 2023;24:426. doi:10.1186/s12859-023-05537-0</w:t>
      </w:r>
    </w:p>
    <w:p>
      <w:r>
        <w:t>72. Vassall KA, Stathopulos PB, Rumfeldt JAO, Lepock JR, Meiering EM. Equilibrium thermodynamic analysis of amyotrophic lateral sclerosis-associated mutant apo Cu,Zn superoxide dismutases. Biochemistry. 2006;45(23):7366–7379. doi:10.1021/bi0600953</w:t>
      </w:r>
    </w:p>
    <w:p>
      <w:r>
        <w:t>73.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74. Schymkowitz J, Borg J, Stricher F, Nys R, Rousseau F, Serrano L. The FoldX web server: an online force field. Nucleic Acids Res. 2005;33(Web Server issue):W382–W388. doi:10.1093/nar/gki387</w:t>
      </w:r>
    </w:p>
    <w:p>
      <w:r>
        <w:t>75. Delgado J, Radusky LG, Cianferoni D, Serrano L. FoldX 5.0: working with RNA, small molecules and a new graphical interface. Bioinformatics. 2019;35(20):4168–4169. doi:10.1093/bioinformatics/btz184</w:t>
      </w:r>
    </w:p>
    <w:p>
      <w:r>
        <w:t>76. Tunyasuvunakool K, Adler J, Wu Z, Green T, Zielinski M, Žídek A, et al. Highly accurate protein structure prediction for the human proteome. Nature. 2021;596(7873):590–596. doi:10.1038/s41586-021-03828-1</w:t>
      </w:r>
    </w:p>
    <w:p>
      <w:r>
        <w:t>77.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