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15 of the 29. Across the prespecified range of 1.0 to 2.5 kcal/mol, stringency left detection nearly unchanged, lowered attribution and raised correct rejection. Predicted energies ranked measured effects (Spearman ρ = 0.47, n = 63) but compressed their size (slope 0.41).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0.448</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limit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15 (attribution, 0.517).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limit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757683"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757683"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limit (2.9, 2.9 and 3.5 kcal/mol for isolated-subunit stability, assembled-complex stability and binding);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prediction-interval limit. Attribution fell at every step, from 18 to 17, 16, 15 and 13.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prediction-interval limit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and the prediction error became more negative as the measured effect grew (ρ = −0.67).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limit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limit. The limit takes, separately for each axis, the upper edge of the 95% prediction interval fitted to FoldX folding and binding predictions [71]: 2.9 kcal/mol for isolated-subunit stability, 2.9 for assembled-complex stability and 3.5 for binding. A call that survives that limit is unlikely to arise from prediction error alone. The released software uses 1.0 kcal/mol as a screening default, and 2.5 kcal/mol is the benchmark reference. S3 Table (threshold_sweep sheet) reports post hoc points above that limit.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2026 Oct 07].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