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S3 Text. Pathogenicity comparison, robustness, independent validation and a self-caught ground-truth correction.</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Pathogenicity comparison, directional enrichment, and gain of function</w:t>
            </w:r>
          </w:p>
        </w:tc>
      </w:tr>
      <w:tr>
        <w:tc>
          <w:tcPr>
            <w:tcW w:type="dxa" w:w="2880"/>
          </w:tcPr>
          <w:p>
            <w:r>
              <w:t>Section 2</w:t>
            </w:r>
          </w:p>
        </w:tc>
        <w:tc>
          <w:tcPr>
            <w:tcW w:type="dxa" w:w="2880"/>
          </w:tcPr>
          <w:p>
            <w:r>
              <w:t>Robustness, uncertainty, and metric reconciliation</w:t>
            </w:r>
          </w:p>
        </w:tc>
      </w:tr>
      <w:tr>
        <w:tc>
          <w:tcPr>
            <w:tcW w:type="dxa" w:w="2880"/>
          </w:tcPr>
          <w:p>
            <w:r>
              <w:t>Section 3</w:t>
            </w:r>
          </w:p>
        </w:tc>
        <w:tc>
          <w:tcPr>
            <w:tcW w:type="dxa" w:w="2880"/>
          </w:tcPr>
          <w:p>
            <w:r>
              <w:t>Independent binding-axis validation on SKEMPI 2.0</w:t>
            </w:r>
          </w:p>
        </w:tc>
      </w:tr>
      <w:tr>
        <w:tc>
          <w:tcPr>
            <w:tcW w:type="dxa" w:w="2880"/>
          </w:tcPr>
          <w:p>
            <w:r>
              <w:t>Section 4</w:t>
            </w:r>
          </w:p>
        </w:tc>
        <w:tc>
          <w:tcPr>
            <w:tcW w:type="dxa" w:w="2880"/>
          </w:tcPr>
          <w:p>
            <w:r>
              <w:t>Do high-priority variants also have their mechanism graded correctly?</w:t>
            </w:r>
          </w:p>
        </w:tc>
      </w:tr>
      <w:tr>
        <w:tc>
          <w:tcPr>
            <w:tcW w:type="dxa" w:w="2880"/>
          </w:tcPr>
          <w:p>
            <w:r>
              <w:t>Section 5</w:t>
            </w:r>
          </w:p>
        </w:tc>
        <w:tc>
          <w:tcPr>
            <w:tcW w:type="dxa" w:w="2880"/>
          </w:tcPr>
          <w:p>
            <w:r>
              <w:t>A correction the benchmark caught in itself</w:t>
            </w:r>
          </w:p>
        </w:tc>
      </w:tr>
    </w:tbl>
    <w:p>
      <w:r>
        <w:rPr>
          <w:b/>
        </w:rPr>
        <w:t>Section 1. Pathogenicity comparison, directional enrichment, and gain of function</w:t>
      </w:r>
    </w:p>
    <w:p>
      <w:r>
        <w:t>At the 2.5 reference, 27 of 61 benchmark variants had at least one firing energetic output and 34 were silent, where firing uses the shipped reduction over confidence-passing axes rather than a raw threshold on every partner column. Among the 49 variants carrying a curated clinical annotation, 37 were pathogenic. All 22 annotated variants with a firing output were pathogenic, so no benign variant in this cohort produced one, whereas the silent group contained 15 pathogenic and 12 benign variants (Fisher exact p = 2.0 × 10^-4). The 15 pathogenic-but-silent variants spanned 10 of the 14 systems. Because the benchmark was selected for mechanism evidence, these fractions are not expected clinical predictive values; they establish only the direction of the asymmetry between positive and silent structural calls.</w:t>
      </w:r>
    </w:p>
    <w:p>
      <w:r>
        <w:rPr>
          <w:b/>
        </w:rPr>
        <w:t>Section 2. Robustness, uncertainty, and metric reconciliation</w:t>
      </w:r>
    </w:p>
    <w:p>
      <w:r>
        <w:t>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or commitment cases from both whole-variant mechanism scoring and the continuity denominator, giving 86/123 = 0.699 at 2.5 and 84/123 = 0.683 at the prediction-interval limit. The all-row denominator audit is 86/124 = 0.694 at 2.5. Naive recounts based only on raw ΔΔG sign or per-partner values do not reproduce the metric because the shipped scorer applies direction, operating-point, confidence, and interval gates.</w:t>
      </w:r>
    </w:p>
    <w:p>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restricted cohort scored 33.5/49 = 0.684 against 37.0/56 = 0.661 on the full graded set, a difference of 0.023. The confidence restriction therefore removes lower-confidence observations without turning the remaining cohort into a hidden high-performing subset; it should be read as a robustness view, not as an alternative benchmark definition. The two pLDDT thresholds operate together rather than as alternative configurations: a partner interface enters the gated set at 50, confidence is upgraded to high at 70, and the seven interfaces lying between those values are exactly the seven partial-site variants removed here.</w:t>
      </w:r>
    </w:p>
    <w:p>
      <w:r>
        <w:rPr>
          <w:b/>
        </w:rPr>
        <w:t>Section 3. Independent binding-axis validation on SKEMPI 2.0</w:t>
      </w:r>
    </w:p>
    <w:p>
      <w:r>
        <w:t>The hemoglobin series provides a high-quality within-system anchor but does not test generalization across unrelated interfaces. We therefore scored two independent SKEMPI 2.0 complexes [67] with the frozen COMAVI workflow: barnase-barstar (24 substitutions) and TEM1-BLIP (24 substitutions on the unambiguously mapped BLIP side). Measured binding ΔΔG was calculated as RT ln(K_D,mut/K_D,wt).</w:t>
      </w:r>
    </w:p>
    <w:p>
      <w:r>
        <w:rPr>
          <w:b/>
        </w:rPr>
        <w:t>Section 4. Do high-priority variants also have their mechanism graded correctly?</w:t>
      </w:r>
    </w:p>
    <w:p>
      <w: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46-variant prioritization population answers the question only partly. Of the 21 variants with a modeled structural mechanism, 17 fall inside the top 20 and the four outside, KRAS G12D and G12V, MLH1 H718Y and SMAD4 I500V, rank 32 to 38, and all four are graded inconsistent. The contrast is now informative rather than underpowered: the mean grade is 0.588 for the 17 inside the cut against 0.000 for the four outside it, and the rank-grade association across all 21 is significant (Spearman rho = -0.635, p = 0.002; negative because a smaller rank number is a higher priority). These four expectations are the smallest in measured magnitude, none reaching the 2.5 kcal/mol reference, and the priority score ranks all four low: the score and the grade fail on the same variants. Both grades sit below the 0.661 whole-cohort score because they are computed within the structural class alone, where the mean grade is 0.476 on this population; the whole-cohort figure also contains the curated negatives, on which COMAVI scores 0.815. What can be stated without a significance test is the property that matters operationally: no variant graded fully consistent falls outside the top 20, so the ranking does not bury a variant whose mechanism COMAVI resolves. Within the top 20 the grades are 5 consistent, 9 partial and 2 inconsistent; the two inconsistent cases are MLH1 R755W at rank 11 and PIK3CA E545K at rank 15, and they are the failure mode this analysis is designed to expose - correctly prioritized, incorrectly explained. Only one structural mechanism falls outside the top 20: HBB W37Y at rank 21, immediately below the cut, graded partial. Because a single variant sits beyond the cut, the inside-versus-outside contrast cannot be tested and the descriptive values should not be read as an association; what the crossing does establish is that no fully resolved mechanism is ranked below the cut. This is consistent rather than compounding.</w:t>
      </w:r>
    </w:p>
    <w:p>
      <w:r>
        <w:rPr>
          <w:b/>
        </w:rPr>
        <w:t>Section 5. A correction the benchmark caught in itself</w:t>
      </w:r>
    </w:p>
    <w:p>
      <w:r>
        <w:t>Every committed expectation in this benchmark carries a written one-line evidence basis and a primary citation alongside its expected token. A shipped gate, scripts/verify_ledger_token_basis.py, reads each basis, keeps the clauses that carry the vocabulary of the axis being committed, and fails if the token asserts disruption where those clauses assert the axis is intact, or the reverse. It is run in continuous integration with the other audits.</w:t>
      </w:r>
    </w:p>
    <w:p>
      <w:r>
        <w:t>Three of the then 98 committed expectations failed that check, and all three were binding-axis tokens introduced by a single earlier curation review that changed them from neutral to destabilizing without changing the bases beside them. Two of the three, KRAS G12D and G12V, were restored to destabilizing in v8.0 after the cited source was read directly: the bases recording WT-like RAF1 binding misstated Hunter 2015, whose Table 2 reports a 4.8-fold and a 7.3-fold decrease in affinity. The check behaved correctly in both cases, because a token must agree with the basis written beside it; what it cannot detect is a basis that misreads the source it names, which is why v8.0 verified each change against the primary article rather than against the ledger entry. MSH2 C697F carried a destabilizing binding expectation against a basis reading "ATPase catalytic defect, protein stable, interaction intact". KRAS G12D and G12V carried destabilizing binding expectations against bases recording WT-like RAF1 binding with impaired GTP hydrolysis, and noting that residue 12 lies 13.6 A from the RAF1 interface. In each case the lesion is catalytic and the binding axis is not the axis it affects. The three tokens were returned to neutral and the three variants are now curated as carrying no lesion on the modeled axes.</w:t>
      </w:r>
    </w:p>
    <w:p>
      <w:r>
        <w:t>The correction is reported rather than absorbed because its effects run in both directions. KRAS G12D and G12V move from graded inconsistent to graded consistent, and they are no longer counted among the variants the priority score fails to rank, which removes a limitation the earlier analysis stated. MSH2 C697F moves the other way: it is now a curated negative on which COMAVI predicts 13.3 kcal/mol of isolated-subunit destabilization at a buried-core residue, so it becomes a false positive, it lowers the rejection arm, and it is the one non-structural variant in the highest priority-score band. A correction that only improved the result would deserve more suspicion than this one.</w:t>
      </w:r>
    </w:p>
    <w:p>
      <w:r>
        <w:t>The gate cannot detect every curation error. It reads one curated sentence per axis, so it catches contradictions that are written down; it cannot catch an expectation whose basis is silent on the axis, whose citation is wrong, or which is simply mistaken in a way the curator also wrote down. A passing gate means no committed token contradicts its own recorded evidence, which is weaker than every token being correct.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