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scores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in which every expected effect carries a written evidence basis and a citation. At the 2.5 kcal/mol reference threshold, the mechanism-pattern score was 41.0 of 57 graded variants (0.719), against 0.561 for the strongest trivial strategy. COMAVI detected a lesion in 20 of 25 variants with a structural mechanism but attributed it to the axis the literature implicates in only 14. Among 47 variants with a structural-context tier, the priority score placed 16 of 17 structural mechanisms in the top 20 and all 17 in the top 25. Across the prespecified thresholds of 1.0 to 2.5 kcal/mol, higher stringency left detection nearly unchanged, lowered attribution and raised correct rejection, and the binding axis preferred a lower threshold than the two stability axes. Predicted energies ranked measured effects (Spearman ρ = 0.48, n = 63) but compressed their size (slope 0.42). COMAVI is therefore best used in two steps: the priority score to decide which variants to study,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are likely to cause disease but rarely say how a change does its damage, which is what decides the next experiment. Most proteins work while bound to partners. A change can make the protein itself unstable, or it can leave the protein folded but weaken its grip on a partner, and the two problems are tested in different ways. Our method evaluates each change twice, in the protein alone and in the assembled group of proteins, so that the two problems can be told apart. We tested it on 61 changes in 14 protein systems whose effects published experiments have already established. Of the 57 changes we could grade, its predictions fully matched the published evidence for 36 and partly matched it for 10 more. In a ranked list of 47 changes, it placed 16 of the 17 truly disruptive ones in the top 20. Its main weakness was placing detected damage in the wrong part of the structure. We describe how to use the method to choose experiments,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using sequence and evolutionary information [1,2].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accurately enough to make this comparison practical at scale [4–6].</w:t>
      </w:r>
    </w:p>
    <w:p>
      <w:r>
        <w:t>Several tools place variants on experimental or predicted structures [7–13], and two of them consider both monomeric and assembled contexts.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whether the mechanism profile recovers the literature-defined mechanism, whether the priority score concentrates structural mechanisms at the top of a ranking, and how both answers depend on the energy threshold that turns a continuous prediction into a call. We then compared the predicted energies with direct measurements and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6:pic>
                  <ns6:nvPicPr>
                    <ns6:cNvPr id="0" name="Fig1.png"/>
                    <ns6:cNvPicPr/>
                  </ns6:nvPicPr>
                  <ns6:blipFill>
                    <a:blip r:embed="rId12"/>
                    <a:stretch>
                      <a:fillRect/>
                    </a:stretch>
                  </ns6:blipFill>
                  <ns6:spPr>
                    <a:xfrm>
                      <a:off x="0" y="0"/>
                      <a:ext cx="5998475" cy="2154940"/>
                    </a:xfrm>
                    <a:prstGeom prst="rect"/>
                  </ns6:spPr>
                </ns6:pic>
              </a:graphicData>
            </a:graphic>
          </wp:inline>
        </w:drawing>
      </w:r>
    </w:p>
    <w:p>
      <w:r>
        <w:rPr>
          <w:b/>
        </w:rPr>
        <w:t>Fig 1. COMAVI workflow.</w:t>
      </w:r>
      <w:r>
        <w:t xml:space="preserve"> </w:t>
      </w:r>
      <w:r>
        <w:t>A missense variant and isolated and assembled structural models yield four lines of structural evidence: predicted stability changes in the monomer (isolated subunit) and in the multimer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interaction.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Together they span the mechanisms COMAVI is meant to separate: loss and gain of function, fold-driven and binding-driven disruption, and variants with ambiguous biology. For each variant, the primary literature defines the expected direction on each applicable axis [25–58]. Each of the 98 committed expectations is recorded with its evidence class, a one-line basis and a citation (S3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57</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57 are graded against an expected mechanism: 25 carry a committed structural mechanism and 32 are curated to carry no lesion on the modeled axes, which we call no-lesion variants. Four variants are not graded. The mechanism of BRCA1 R1699L and R1699Q, loss of phosphopeptide recognition, cannot be represented by the supplied structure, and TNNI3 R162W and VHL W117R have no committed expectation on any modeled axis (S1 Table, model_scope sheet). Of the 57 graded variants, the 47 in complexes also carry a structural-context tier and form the prioritization population of 17 structural-mechanism and 30 no-lesion variants. The 17 are a subset of the 25; the other eight are BRCT fold mechanisms, which have no partner chain and therefore no tier.</w:t>
      </w:r>
    </w:p>
    <w:p>
      <w:r>
        <w:t>Five graded no-lesion variants carry no committed expectation on any individual axis: CALM1 D96V, N98S and F142L, which act through altered calcium binding [29,30], and SMAD4 I500T and I500V, which act through impaired monoubiquitination [44]. Their mechanisms lie outside the modeled axes, so they are graded at the whole-variant level as no-lesion variants. S3 Table lists their basis and sources, and the analyses below report the effect of removing them.</w:t>
      </w:r>
    </w:p>
    <w:p>
      <w:r>
        <w:t>Evidence quality differs by direction, because a disruptive effect attracts a dedicated biophysical measurement far more often than a normal one does. Of the 38 expectations supported by quantitative evidence (classes E1 and E2; Methods), 25 are destabilizing; of the 60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41.0 of 57 (0.719). To judge this value, we graded every trivial fixed strategy on the same variants. The strongest, calling every variant silent, scores 0.561 by accepting all no-lesion variants and missing every mechanism. Calling every variant destabilized on every axis scores 0.386, and permuting the ground truth gives a mean of 0.484 (standard deviation 0.052; p = 0.0005; S2 Text). COMAVI exceeds the best trivial strategy by 0.158.</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57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0.579</w:t>
            </w:r>
          </w:p>
        </w:tc>
        <w:tc>
          <w:tcPr>
            <w:tcW w:type="dxa" w:w="691"/>
          </w:tcPr>
          <w:p>
            <w:pPr>
              <w:spacing w:before="20" w:after="20" w:line="240" w:lineRule="auto"/>
              <w:jc w:val="center"/>
            </w:pPr>
            <w:r/>
            <w:r>
              <w:rPr>
                <w:sz w:val="18"/>
              </w:rPr>
              <w:t>0.649</w:t>
            </w:r>
          </w:p>
        </w:tc>
        <w:tc>
          <w:tcPr>
            <w:tcW w:type="dxa" w:w="691"/>
          </w:tcPr>
          <w:p>
            <w:pPr>
              <w:spacing w:before="20" w:after="20" w:line="240" w:lineRule="auto"/>
              <w:jc w:val="center"/>
            </w:pPr>
            <w:r/>
            <w:r>
              <w:rPr>
                <w:sz w:val="18"/>
              </w:rPr>
              <w:t>0.684</w:t>
            </w:r>
          </w:p>
        </w:tc>
        <w:tc>
          <w:tcPr>
            <w:tcW w:type="dxa" w:w="691"/>
          </w:tcPr>
          <w:p>
            <w:pPr>
              <w:spacing w:before="20" w:after="20" w:line="240" w:lineRule="auto"/>
              <w:jc w:val="center"/>
            </w:pPr>
            <w:r/>
            <w:r>
              <w:rPr>
                <w:sz w:val="18"/>
              </w:rPr>
              <w:t>0.719</w:t>
            </w:r>
          </w:p>
        </w:tc>
        <w:tc>
          <w:tcPr>
            <w:tcW w:type="dxa" w:w="720"/>
          </w:tcPr>
          <w:p>
            <w:pPr>
              <w:spacing w:before="20" w:after="20" w:line="240" w:lineRule="auto"/>
              <w:jc w:val="center"/>
            </w:pPr>
            <w:r/>
            <w:r>
              <w:rPr>
                <w:sz w:val="18"/>
              </w:rPr>
              <w:t>0.711</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0.760</w:t>
            </w:r>
          </w:p>
        </w:tc>
        <w:tc>
          <w:tcPr>
            <w:tcW w:type="dxa" w:w="691"/>
          </w:tcPr>
          <w:p>
            <w:pPr>
              <w:spacing w:before="20" w:after="20" w:line="240" w:lineRule="auto"/>
              <w:jc w:val="center"/>
            </w:pPr>
            <w:r/>
            <w:r>
              <w:rPr>
                <w:sz w:val="18"/>
              </w:rPr>
              <w:t>0.720</w:t>
            </w:r>
          </w:p>
        </w:tc>
        <w:tc>
          <w:tcPr>
            <w:tcW w:type="dxa" w:w="691"/>
          </w:tcPr>
          <w:p>
            <w:pPr>
              <w:spacing w:before="20" w:after="20" w:line="240" w:lineRule="auto"/>
              <w:jc w:val="center"/>
            </w:pPr>
            <w:r/>
            <w:r>
              <w:rPr>
                <w:sz w:val="18"/>
              </w:rPr>
              <w:t>0.640</w:t>
            </w:r>
          </w:p>
        </w:tc>
        <w:tc>
          <w:tcPr>
            <w:tcW w:type="dxa" w:w="691"/>
          </w:tcPr>
          <w:p>
            <w:pPr>
              <w:spacing w:before="20" w:after="20" w:line="240" w:lineRule="auto"/>
              <w:jc w:val="center"/>
            </w:pPr>
            <w:r/>
            <w:r>
              <w:rPr>
                <w:sz w:val="18"/>
              </w:rPr>
              <w:t>0.600</w:t>
            </w:r>
          </w:p>
        </w:tc>
        <w:tc>
          <w:tcPr>
            <w:tcW w:type="dxa" w:w="720"/>
          </w:tcPr>
          <w:p>
            <w:pPr>
              <w:spacing w:before="20" w:after="20" w:line="240" w:lineRule="auto"/>
              <w:jc w:val="center"/>
            </w:pPr>
            <w:r/>
            <w:r>
              <w:rPr>
                <w:sz w:val="18"/>
              </w:rPr>
              <w:t>0.540</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0.438</w:t>
            </w:r>
          </w:p>
        </w:tc>
        <w:tc>
          <w:tcPr>
            <w:tcW w:type="dxa" w:w="691"/>
          </w:tcPr>
          <w:p>
            <w:pPr>
              <w:spacing w:before="20" w:after="20" w:line="240" w:lineRule="auto"/>
              <w:jc w:val="center"/>
            </w:pPr>
            <w:r/>
            <w:r>
              <w:rPr>
                <w:sz w:val="18"/>
              </w:rPr>
              <w:t>0.594</w:t>
            </w:r>
          </w:p>
        </w:tc>
        <w:tc>
          <w:tcPr>
            <w:tcW w:type="dxa" w:w="691"/>
          </w:tcPr>
          <w:p>
            <w:pPr>
              <w:spacing w:before="20" w:after="20" w:line="240" w:lineRule="auto"/>
              <w:jc w:val="center"/>
            </w:pPr>
            <w:r/>
            <w:r>
              <w:rPr>
                <w:sz w:val="18"/>
              </w:rPr>
              <w:t>0.719</w:t>
            </w:r>
          </w:p>
        </w:tc>
        <w:tc>
          <w:tcPr>
            <w:tcW w:type="dxa" w:w="691"/>
          </w:tcPr>
          <w:p>
            <w:pPr>
              <w:spacing w:before="20" w:after="20" w:line="240" w:lineRule="auto"/>
              <w:jc w:val="center"/>
            </w:pPr>
            <w:r/>
            <w:r>
              <w:rPr>
                <w:sz w:val="18"/>
              </w:rPr>
              <w:t>0.812</w:t>
            </w:r>
          </w:p>
        </w:tc>
        <w:tc>
          <w:tcPr>
            <w:tcW w:type="dxa" w:w="720"/>
          </w:tcPr>
          <w:p>
            <w:pPr>
              <w:spacing w:before="20" w:after="20" w:line="240" w:lineRule="auto"/>
              <w:jc w:val="center"/>
            </w:pPr>
            <w:r/>
            <w:r>
              <w:rPr>
                <w:sz w:val="18"/>
              </w:rPr>
              <w:t>0.844</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0.920</w:t>
            </w:r>
          </w:p>
        </w:tc>
        <w:tc>
          <w:tcPr>
            <w:tcW w:type="dxa" w:w="691"/>
          </w:tcPr>
          <w:p>
            <w:pPr>
              <w:spacing w:before="20" w:after="20" w:line="240" w:lineRule="auto"/>
              <w:jc w:val="center"/>
            </w:pPr>
            <w:r/>
            <w:r>
              <w:rPr>
                <w:sz w:val="18"/>
              </w:rPr>
              <w:t>0.800</w:t>
            </w:r>
          </w:p>
        </w:tc>
        <w:tc>
          <w:tcPr>
            <w:tcW w:type="dxa" w:w="691"/>
          </w:tcPr>
          <w:p>
            <w:pPr>
              <w:spacing w:before="20" w:after="20" w:line="240" w:lineRule="auto"/>
              <w:jc w:val="center"/>
            </w:pPr>
            <w:r/>
            <w:r>
              <w:rPr>
                <w:sz w:val="18"/>
              </w:rPr>
              <w:t>0.800</w:t>
            </w:r>
          </w:p>
        </w:tc>
        <w:tc>
          <w:tcPr>
            <w:tcW w:type="dxa" w:w="691"/>
          </w:tcPr>
          <w:p>
            <w:pPr>
              <w:spacing w:before="20" w:after="20" w:line="240" w:lineRule="auto"/>
              <w:jc w:val="center"/>
            </w:pPr>
            <w:r/>
            <w:r>
              <w:rPr>
                <w:sz w:val="18"/>
              </w:rPr>
              <w:t>0.800</w:t>
            </w:r>
          </w:p>
        </w:tc>
        <w:tc>
          <w:tcPr>
            <w:tcW w:type="dxa" w:w="720"/>
          </w:tcPr>
          <w:p>
            <w:pPr>
              <w:spacing w:before="20" w:after="20" w:line="240" w:lineRule="auto"/>
              <w:jc w:val="center"/>
            </w:pPr>
            <w:r/>
            <w:r>
              <w:rPr>
                <w:sz w:val="18"/>
              </w:rPr>
              <w:t>0.720</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0.760</w:t>
            </w:r>
          </w:p>
        </w:tc>
        <w:tc>
          <w:tcPr>
            <w:tcW w:type="dxa" w:w="691"/>
          </w:tcPr>
          <w:p>
            <w:pPr>
              <w:spacing w:before="20" w:after="20" w:line="240" w:lineRule="auto"/>
              <w:jc w:val="center"/>
            </w:pPr>
            <w:r/>
            <w:r>
              <w:rPr>
                <w:sz w:val="18"/>
              </w:rPr>
              <w:t>0.680</w:t>
            </w:r>
          </w:p>
        </w:tc>
        <w:tc>
          <w:tcPr>
            <w:tcW w:type="dxa" w:w="691"/>
          </w:tcPr>
          <w:p>
            <w:pPr>
              <w:spacing w:before="20" w:after="20" w:line="240" w:lineRule="auto"/>
              <w:jc w:val="center"/>
            </w:pPr>
            <w:r/>
            <w:r>
              <w:rPr>
                <w:sz w:val="18"/>
              </w:rPr>
              <w:t>0.640</w:t>
            </w:r>
          </w:p>
        </w:tc>
        <w:tc>
          <w:tcPr>
            <w:tcW w:type="dxa" w:w="691"/>
          </w:tcPr>
          <w:p>
            <w:pPr>
              <w:spacing w:before="20" w:after="20" w:line="240" w:lineRule="auto"/>
              <w:jc w:val="center"/>
            </w:pPr>
            <w:r/>
            <w:r>
              <w:rPr>
                <w:sz w:val="18"/>
              </w:rPr>
              <w:t>0.560</w:t>
            </w:r>
          </w:p>
        </w:tc>
        <w:tc>
          <w:tcPr>
            <w:tcW w:type="dxa" w:w="720"/>
          </w:tcPr>
          <w:p>
            <w:pPr>
              <w:spacing w:before="20" w:after="20" w:line="240" w:lineRule="auto"/>
              <w:jc w:val="center"/>
            </w:pPr>
            <w:r/>
            <w:r>
              <w:rPr>
                <w:sz w:val="18"/>
              </w:rPr>
              <w:t>0.480</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0.156</w:t>
            </w:r>
          </w:p>
        </w:tc>
        <w:tc>
          <w:tcPr>
            <w:tcW w:type="dxa" w:w="691"/>
          </w:tcPr>
          <w:p>
            <w:pPr>
              <w:spacing w:before="20" w:after="20" w:line="240" w:lineRule="auto"/>
              <w:jc w:val="center"/>
            </w:pPr>
            <w:r/>
            <w:r>
              <w:rPr>
                <w:sz w:val="18"/>
              </w:rPr>
              <w:t>0.594</w:t>
            </w:r>
          </w:p>
        </w:tc>
        <w:tc>
          <w:tcPr>
            <w:tcW w:type="dxa" w:w="691"/>
          </w:tcPr>
          <w:p>
            <w:pPr>
              <w:spacing w:before="20" w:after="20" w:line="240" w:lineRule="auto"/>
              <w:jc w:val="center"/>
            </w:pPr>
            <w:r/>
            <w:r>
              <w:rPr>
                <w:sz w:val="18"/>
              </w:rPr>
              <w:t>0.719</w:t>
            </w:r>
          </w:p>
        </w:tc>
        <w:tc>
          <w:tcPr>
            <w:tcW w:type="dxa" w:w="691"/>
          </w:tcPr>
          <w:p>
            <w:pPr>
              <w:spacing w:before="20" w:after="20" w:line="240" w:lineRule="auto"/>
              <w:jc w:val="center"/>
            </w:pPr>
            <w:r/>
            <w:r>
              <w:rPr>
                <w:sz w:val="18"/>
              </w:rPr>
              <w:t>0.812</w:t>
            </w:r>
          </w:p>
        </w:tc>
        <w:tc>
          <w:tcPr>
            <w:tcW w:type="dxa" w:w="720"/>
          </w:tcPr>
          <w:p>
            <w:pPr>
              <w:spacing w:before="20" w:after="20" w:line="240" w:lineRule="auto"/>
              <w:jc w:val="center"/>
            </w:pPr>
            <w:r/>
            <w:r>
              <w:rPr>
                <w:sz w:val="18"/>
              </w:rPr>
              <w:t>0.844</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0.701</w:t>
            </w:r>
          </w:p>
        </w:tc>
        <w:tc>
          <w:tcPr>
            <w:tcW w:type="dxa" w:w="691"/>
          </w:tcPr>
          <w:p>
            <w:pPr>
              <w:spacing w:before="20" w:after="20" w:line="240" w:lineRule="auto"/>
              <w:jc w:val="center"/>
            </w:pPr>
            <w:r/>
            <w:r>
              <w:rPr>
                <w:sz w:val="18"/>
              </w:rPr>
              <w:t>0.740</w:t>
            </w:r>
          </w:p>
        </w:tc>
        <w:tc>
          <w:tcPr>
            <w:tcW w:type="dxa" w:w="691"/>
          </w:tcPr>
          <w:p>
            <w:pPr>
              <w:spacing w:before="20" w:after="20" w:line="240" w:lineRule="auto"/>
              <w:jc w:val="center"/>
            </w:pPr>
            <w:r/>
            <w:r>
              <w:rPr>
                <w:sz w:val="18"/>
              </w:rPr>
              <w:t>0.753</w:t>
            </w:r>
          </w:p>
        </w:tc>
        <w:tc>
          <w:tcPr>
            <w:tcW w:type="dxa" w:w="691"/>
          </w:tcPr>
          <w:p>
            <w:pPr>
              <w:spacing w:before="20" w:after="20" w:line="240" w:lineRule="auto"/>
              <w:jc w:val="center"/>
            </w:pPr>
            <w:r/>
            <w:r>
              <w:rPr>
                <w:sz w:val="18"/>
              </w:rPr>
              <w:t>0.753</w:t>
            </w:r>
          </w:p>
        </w:tc>
        <w:tc>
          <w:tcPr>
            <w:tcW w:type="dxa" w:w="720"/>
          </w:tcPr>
          <w:p>
            <w:pPr>
              <w:spacing w:before="20" w:after="20" w:line="240" w:lineRule="auto"/>
              <w:jc w:val="center"/>
            </w:pPr>
            <w:r/>
            <w:r>
              <w:rPr>
                <w:sz w:val="18"/>
              </w:rPr>
              <w:t>0.727</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47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720"/>
          </w:tcPr>
          <w:p>
            <w:pPr>
              <w:spacing w:before="20" w:after="20" w:line="240" w:lineRule="auto"/>
              <w:jc w:val="center"/>
            </w:pPr>
            <w:r/>
            <w:r>
              <w:rPr>
                <w:sz w:val="18"/>
              </w:rPr>
              <w:t>0.723</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47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720"/>
          </w:tcPr>
          <w:p>
            <w:pPr>
              <w:spacing w:before="20" w:after="20" w:line="240" w:lineRule="auto"/>
              <w:jc w:val="center"/>
            </w:pPr>
            <w:r/>
            <w:r>
              <w:rPr>
                <w:sz w:val="18"/>
              </w:rPr>
              <w:t>0.943</w:t>
            </w:r>
          </w:p>
        </w:tc>
      </w:tr>
    </w:tbl>
    <w:p>
      <w:r>
        <w:t>Values at the four uniform thresholds (kcal/mol) and at the per-axis prediction-interval bound (2.9, 2.9 and 3.5 kcal/mol for isolated-subunit stability, assembled-complex stability and binding). Detection, attribution and correct rejection use every computed axis before confidence gating; the rubric grades use confidence-passing axes only. ROC AUC (area under the receiver operating characteristic curve) uses no threshold and takes one value.</w:t>
      </w:r>
    </w:p>
    <w:p>
      <w:r>
        <w:t>The pooled score combines two capabilities that behave differently. The grade averaged 0.600 over the 25 structural-mechanism variants and 0.812 over the 32 no-lesion variants. Asked as binary questions, the same calls give three rates. At least one axis reached the threshold for 20 of the 25 mechanisms (detection, 0.800), and the axis the literature implicates reached it for 14 (attribution, 0.560). No axis reached it for 26 of the 32 no-lesion variants (correct rejection, 0.812). Binary attribution agrees with the graded structural arm to within 0.040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nine variants curated as pure interface destabilizers, the binding axis fired for 4 and the assembled-complex stability axis for 7. The lesion was found but placed in the fold of the complex instead of in the interaction (S2 Text). Two variants show both what the second context adds and this error.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w:t>
      </w:r>
    </w:p>
    <w:p>
      <w:r>
        <w:t>Direction agreement was similar on the three axes: 19 of 25 expectations for isolated-subunit stability, 17 of 22 for assembled-complex stability and 22 of 30 for binding (58 of 77 overall), rates within 0.040 of one another. The 47 complex variants and the 10 BRCT variants scored similarly (0.723 and 0.700), so neither subset determines the pooled result.</w:t>
      </w:r>
    </w:p>
    <w:p>
      <w:r>
        <w:t>No single protein system carries the result. Resampling whole systems gave a 95% interval of 0.625–0.821 for the mechanism-pattern score, and leaving out one system at a time gave values from 0.704 to 0.750 (S1 Fig). Without the five whole-variant no-lesion variants, the score is 36.0 of 52 (0.692). Because the 57 variants come from 14 clustered systems, 0.719 measures agreement on this benchmark, not general accuracy.</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(S1 Table, model_scope sheet).</w:t>
      </w:r>
    </w:p>
    <w:p>
      <w:pPr>
        <w:pStyle w:val="Heading2"/>
      </w:pPr>
      <w:r>
        <w:t>The priority score concentrates structural mechanisms at the top of the ranking</w:t>
      </w:r>
    </w:p>
    <w:p>
      <w:r>
        <w:t>The priority score combines a context component and an energy component (Methods), and we first tested each alone on the 47-variant prioritization population. The structural-context tier uses no energy. It placed all 17 structural-mechanism variants in Tier 1 or 2 (sensitivity 1.000, 95% confidence interval 0.805–1.000) together with 13 of the 30 no-lesion variants (specificity 0.567, 0.374–0.745; within-system permutation p = 0.0095). The tier is therefore permissive, and because it cannot identify which process is affected, it never overrides an axis energy. Interface status alone was more specific (0.767) and recovered 15 of the 17 mechanisms; the full tier also recovered two structural-mechanism variants outside any detected interface (S1 Table, context_comparators sheet; S3 Fig). On the 26 variants whose every committed axis has E1 to E3 support, sensitivity was unchanged and specificity was 0.615 (S1 Text).</w:t>
      </w:r>
    </w:p>
    <w:p>
      <w:r>
        <w:t>We measured ranking quality by the ROC AUC, the probability that a randomly chosen structural-mechanism variant outranks a randomly chosen no-lesion variant. The energy component alone reached an AUC of 0.857 and placed 15 of the 17 mechanisms in the top 20, but no more by rank 25. It ranks HBB N102T 37th and MLH1 Q542L 33rd of 47, although the tier places both in Tier 1. The context component alone reached 0.890 and recovered 14 mechanisms in the top 20 and 16 by rank 25. The two components fail on different variants. Crossing the energy calls with the tier shows the same complementarity: at 1.0 and at 2.5 kcal/mol, no structural-mechanism variant falls in the energy-only or the neither state. At 2.5 kcal/mol, 15 mechanisms are convergent and 2 context-only, whereas the energy-only state holds 3 no-lesion variants (8 at 1.0 kcal/mol) and no mechanism (S2 Table, evidence_states sheet). In this cohort, an energy call without supporting structural context marks a no-lesion variant.</w:t>
      </w:r>
    </w:p>
    <w:p>
      <w:r>
        <w:t>Combining the two components recovered what neither reaches alone (Fig 2). The priority score placed 9 of the 17 structural mechanisms in the top 10, 16 in the top 20 and all 17 in the top 25. Its ROC AUC was 0.943 and its average precision 0.818, against a positive rate of 17 in 47; without the five whole-variant no-lesion variants, the AUC was 0.939. The ranking applies no energy threshold, and its positive class comes from the curated mechanism class, so none of these values depends on the threshold.</w:t>
      </w:r>
    </w:p>
    <w:p>
      <w:pPr>
        <w:jc w:val="center"/>
      </w:pPr>
      <w:r>
        <w:drawing>
          <wp:inline>
            <wp:extent cx="5888747" cy="2060452"/>
            <wp:docPr id="2" name="Picture 2"/>
            <wp:cNvGraphicFramePr>
              <a:graphicFrameLocks noChangeAspect="1"/>
            </wp:cNvGraphicFramePr>
            <a:graphic>
              <a:graphicData uri="http://schemas.openxmlformats.org/drawingml/2006/picture">
                <ns6:pic>
                  <ns6:nvPicPr>
                    <ns6:cNvPr id="0" name="Fig2.png"/>
                    <ns6:cNvPicPr/>
                  </ns6:nvPicPr>
                  <ns6:blipFill>
                    <a:blip r:embed="rId13"/>
                    <a:stretch>
                      <a:fillRect/>
                    </a:stretch>
                  </ns6:blipFill>
                  <ns6:spPr>
                    <a:xfrm>
                      <a:off x="0" y="0"/>
                      <a:ext cx="5888747" cy="2060452"/>
                    </a:xfrm>
                    <a:prstGeom prst="rect"/>
                  </ns6:spPr>
                </ns6:pic>
              </a:graphicData>
            </a:graphic>
          </wp:inline>
        </w:drawing>
      </w:r>
    </w:p>
    <w:p>
      <w:r>
        <w:rPr>
          <w:b/>
        </w:rPr>
        <w:t>Fig 2. The priority score concentrates structural mechanisms at the top of the ranking.</w:t>
      </w:r>
      <w:r>
        <w:t xml:space="preserve"> </w:t>
      </w:r>
      <w:r>
        <w:t>(A) Priority scores of the 17 structural-mechanism and 30 no-lesion variants in the 47-variant prioritization population. (B) Structural mechanisms recovered as a function of rank depth for the priority score and for its context and energy components ranked alone.</w:t>
      </w:r>
    </w:p>
    <w:p>
      <w:r>
        <w:t>A high rank does not guarantee a correct mechanism. Of the 16 structural mechanisms in the top 20, 5 are graded consistent, 9 partial and 2 inconsistent; the only mechanism outside the top 20, HBB W37Y at rank 21, is graded partial. The two inconsistent cases, MLH1 R755W at rank 11 and PIK3CA E545K at rank 15,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Stringency costs attribution, not detection</w:t>
      </w:r>
    </w:p>
    <w:p>
      <w:r>
        <w:t>Every graded result depends on the energy threshold that turns a continuous prediction into a call (Fig 3). Over the prespecified uniform thresholds of 1.0, 1.5, 2.0 and 2.5 kcal/mol and the per-axis prediction-interval bound (Methods), the mechanism-pattern score was 0.579, 0.649, 0.684, 0.719 and 0.711. The 2.5 kcal/mol reference therefore maximizes the score on this cohort, as it does the unweighted mean of the two arms, but the system-resampling intervals overlap at every threshold (Fig 3C).</w:t>
      </w:r>
    </w:p>
    <w:p>
      <w:pPr>
        <w:jc w:val="center"/>
      </w:pPr>
      <w:r>
        <w:drawing>
          <wp:inline>
            <wp:extent cx="5684531" cy="3788671"/>
            <wp:docPr id="3" name="Picture 3"/>
            <wp:cNvGraphicFramePr>
              <a:graphicFrameLocks noChangeAspect="1"/>
            </wp:cNvGraphicFramePr>
            <a:graphic>
              <a:graphicData uri="http://schemas.openxmlformats.org/drawingml/2006/picture">
                <ns6:pic>
                  <ns6:nvPicPr>
                    <ns6:cNvPr id="0" name="Fig3.png"/>
                    <ns6:cNvPicPr/>
                  </ns6:nvPicPr>
                  <ns6:blipFill>
                    <a:blip r:embed="rId14"/>
                    <a:stretch>
                      <a:fillRect/>
                    </a:stretch>
                  </ns6:blipFill>
                  <ns6:spPr>
                    <a:xfrm>
                      <a:off x="0" y="0"/>
                      <a:ext cx="5684531" cy="3788671"/>
                    </a:xfrm>
                    <a:prstGeom prst="rect"/>
                  </ns6:spPr>
                </ns6:pic>
              </a:graphicData>
            </a:graphic>
          </wp:inline>
        </w:drawing>
      </w:r>
    </w:p>
    <w:p>
      <w:r>
        <w:rPr>
          <w:b/>
        </w:rPr>
        <w:t>Fig 3.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25 structural-mechanism and 32 no-lesion variants. (B) Direction agreement on each axis (25 isolated-subunit, 22 assembled-complex and 30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23 of the 25 mechanisms at 1.0 kcal/mol, for 20 at 1.5 to 2.5 kcal/mol and for 18 at the bound. Attribution fell at every step, from 19 to 17, 16, 14 and 12. Correct rejection rose at every step, from 5 of 32 to 19, 23, 26 and 27. Stringency therefore buys rejection by losing the correct axis, not by missing the lesion. The structural arm fell from 0.760 to 0.540 and the no-lesion arm rose from 0.438 to 0.844, and the two cross between 1.5 and 2.0 kcal/mol (Fig 3A and 3C).</w:t>
      </w:r>
    </w:p>
    <w:p>
      <w:r>
        <w:t>The three axes prefer different thresholds (Fig 3B). Binding agreement was highest at 1.0 and 1.5 kcal/mol (24 of 30) and fell to 22 at the reference. Assembled-complex agreement rose from 12 of 22 at 1.0 kcal/mol to 17 at the reference, and isolated-subunit agreement peaked at 2.0 and 2.5 kcal/mol (19 of 25). The denominators do not change across thresholds. A single global threshold is therefore set where the two stability axes perform best, and binding gives up 0.067 relative to its own optimum. Per-axis thresholds are the most promising single change to the calling layer, because they would recover part of the interface shortfall.</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3D).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4).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0.48, p = 5.6 × 10</w:t>
      </w:r>
      <w:r>
        <w:rPr>
          <w:vertAlign w:val="superscript"/>
        </w:rPr>
        <w:t>−5</w:t>
      </w:r>
      <w:r>
        <w:t>), but the fitted slope was 0.42, and the prediction error became more negative as the measured effect grew (ρ = −0.66). A measured destabilization of 2.5 kcal/mol corresponds to a predicted 1.43 kcal/mol. FoldX therefore orders effects but compresses large ones, which accounts for part of the loss of measured effects at stringent thresholds.</w:t>
      </w:r>
    </w:p>
    <w:p>
      <w:pPr>
        <w:jc w:val="center"/>
      </w:pPr>
      <w:r>
        <w:drawing>
          <wp:inline>
            <wp:extent cx="5769875" cy="4248920"/>
            <wp:docPr id="4" name="Picture 4"/>
            <wp:cNvGraphicFramePr>
              <a:graphicFrameLocks noChangeAspect="1"/>
            </wp:cNvGraphicFramePr>
            <a:graphic>
              <a:graphicData uri="http://schemas.openxmlformats.org/drawingml/2006/picture">
                <ns6:pic>
                  <ns6:nvPicPr>
                    <ns6:cNvPr id="0" name="Fig4.png"/>
                    <ns6:cNvPicPr/>
                  </ns6:nvPicPr>
                  <ns6:blipFill>
                    <a:blip r:embed="rId15"/>
                    <a:stretch>
                      <a:fillRect/>
                    </a:stretch>
                  </ns6:blipFill>
                  <ns6:spPr>
                    <a:xfrm>
                      <a:off x="0" y="0"/>
                      <a:ext cx="5769875" cy="4248920"/>
                    </a:xfrm>
                    <a:prstGeom prst="rect"/>
                  </ns6:spPr>
                </ns6:pic>
              </a:graphicData>
            </a:graphic>
          </wp:inline>
        </w:drawing>
      </w:r>
    </w:p>
    <w:p>
      <w:r>
        <w:rPr>
          <w:b/>
        </w:rPr>
        <w:t>Fig 4. Predicted energies rank measured effects but compress their magnitude.</w:t>
      </w:r>
      <w:r>
        <w:t xml:space="preserve"> </w:t>
      </w:r>
      <w:r>
        <w:t>(A) Predicted against measured ΔΔG for 63 comparisons from four systems, with the least-squares fit (slope 0.42)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0.63 (n = 56) while the slope barely changes (0.43),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(S5 Fig).</w:t>
      </w:r>
    </w:p>
    <w:p>
      <w:r>
        <w:t>Two axes also have direct anchors within the benchmark's own systems. Predicted isolated-subunit stability tracked measured unfolding free energy across the 10 graded BRCT variants (ρ = 0.72; Fig 4C). The only one measured above 2.5 kcal/mol but predicted below it is V1736A (measured 4.20, predicted 1.24 kcal/mol). Predicted binding tracked measured hemoglobin assembly energies (ρ = 0.90, n = 5; Fig 4D). The largest measured penalty, βW37E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Structural prioritization and pathogenicity prediction answer different questions</w:t>
      </w:r>
    </w:p>
    <w:p>
      <w:r>
        <w:t>Because the priority score ranks structural disruption, it invites comparison with pathogenicity predictors. We made that comparison on the 47 complex variants that have both a clinical label and an AlphaMissense score (36 pathogenic, 11 benign). This set differs from the prioritization population. It includes TNNI3 R162W and VHL W117R, which are not graded, and lacks VWF R1334Q and A1381T, for which no AlphaMissense score was retrieved. AlphaMissense ranked pathogenicity better (ROC AUC 0.903) than the priority score (0.851) or its energy (0.836) and context (0.769) components (Fig 5). This is the expected result. AlphaMissense asks whether a variant is likely to be pathogenic; the priority score asks how strongly the structure supports a modeled disruption, and these pathogenicity AUCs are not comparable with the structural AUC of 0.943.</w:t>
      </w:r>
    </w:p>
    <w:p>
      <w:pPr>
        <w:jc w:val="center"/>
      </w:pPr>
      <w:r>
        <w:drawing>
          <wp:inline>
            <wp:extent cx="5797307" cy="2319532"/>
            <wp:docPr id="5" name="Picture 5"/>
            <wp:cNvGraphicFramePr>
              <a:graphicFrameLocks noChangeAspect="1"/>
            </wp:cNvGraphicFramePr>
            <a:graphic>
              <a:graphicData uri="http://schemas.openxmlformats.org/drawingml/2006/picture">
                <ns6:pic>
                  <ns6:nvPicPr>
                    <ns6:cNvPr id="0" name="Fig5.png"/>
                    <ns6:cNvPicPr/>
                  </ns6:nvPicPr>
                  <ns6:blipFill>
                    <a:blip r:embed="rId16"/>
                    <a:stretch>
                      <a:fillRect/>
                    </a:stretch>
                  </ns6:blipFill>
                  <ns6:spPr>
                    <a:xfrm>
                      <a:off x="0" y="0"/>
                      <a:ext cx="5797307" cy="2319532"/>
                    </a:xfrm>
                    <a:prstGeom prst="rect"/>
                  </ns6:spPr>
                </ns6: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Silent results occurred in both pathogenic and benign variants (S3 Text), so silence does not separate them. The asymmetry matters for use: a structural call supplies a testable hypothesis, whereas a silent result is weak evidence against pathogenicity, because the mechanism may lie outside what the model represents.</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uses no threshold, so the prioritization results hold at any threshold, whereas the mechanism profile depends on the threshold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21 of the 57 graded variants change grade within the prespecified range (S1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 ELASPIC likewise assigns each substitution to a core or an interface model [14].</w:t>
      </w:r>
    </w:p>
    <w:p>
      <w:r>
        <w:t>The work makes three separable contributions. The first is the isolated-versus-assembled contrast, which can separate a predicted folding problem from a predicted binding problem. The second is a benchmark, usable independently of COMAVI, in which every expectation carries a written basis and a citation and an automated check enforces their agreement. The third is the comparison of predictions with measured energies instead of with other predictors.</w:t>
      </w:r>
    </w:p>
    <w:p>
      <w:pPr>
        <w:pStyle w:val="Heading2"/>
      </w:pPr>
      <w:r>
        <w:t>Limitations and next tests</w:t>
      </w:r>
    </w:p>
    <w:p>
      <w:r>
        <w:t>FoldX preserves the direction and rank of an effect better than its size. Published correlations between FoldX and measured stability changes range from 0.19 to 0.81, and the uncertainty of a single prediction is large [69]; evaluations report qualitative agreement more often than quantitative agreement [16]. Here the slope against measured energies was 0.42.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especially where a small change in stability or affinity alters assembly or turnover. At 2.5 kcal/mol COMAVI reproduced 12 of 42 measured destabilizations, against 27 at 1.0 kcal/mol, so a study concerned with mild perturbations should use the lower threshold and accept more false calls.</w:t>
      </w:r>
    </w:p>
    <w:p>
      <w:r>
        <w:t>The benchmark is small and clustered: 57 graded variants in 14 systems, with the variants of a system sharing structures and curation. Resampling whole systems addresses this dependence but cannot replace prospective validation. Evidence is also uneven: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Complex structures were predicted with the AlphaFold 3 server [4], and seven systems used experimental structures (Table 1).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an axis from a predicted structure can support a mechanism call or enter the priority score, using the confidence bands of the AlphaFold database [74]. Sites with pLDDT ≥ 70 count as confident. Sites from 50 to below 70 are retained as lower-confidence evidence when axis-specific uncertainty checks also pass. Below 50, the predicted axis is not used, and the partner contributes no contacts, interface occupancy or burial to the tier. The tier's context score is multiplied by 0.7 for a best-site pLDDT from 50 to below 70 and by 0.4 below 50; experimental structures are not attenuated. Isolated-subunit stability is not graded in regions without an independently stable fold.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m:oMathPara xmlns:m="http://schemas.openxmlformats.org/officeDocument/2006/math">
        <m:oMath>
          <m:r>
            <m:t xml:space="preserve">R = </m:t>
          </m:r>
          <m:limLow>
            <m:e>
              <m:r>
                <m:rPr>
                  <m:sty m:val="p"/>
                </m:rPr>
                <m:t xml:space="preserve">max</m:t>
              </m:r>
            </m:e>
            <m:lim>
              <m:r>
                <m:t xml:space="preserve">j</m:t>
              </m:r>
            </m:lim>
          </m:limLow>
          <m:r>
            <m:t xml:space="preserve"> </m:t>
          </m:r>
          <m:f>
            <m:num>
              <m:r>
                <m:t xml:space="preserve">|</m:t>
              </m:r>
              <m:sSub>
                <m:e>
                  <m:r>
                    <m:t xml:space="preserve">ΔΔG</m:t>
                  </m:r>
                </m:e>
                <m:sub>
                  <m:r>
                    <m:t xml:space="preserve">j</m:t>
                  </m:r>
                </m:sub>
              </m:sSub>
              <m:r>
                <m:t xml:space="preserve">|</m:t>
              </m:r>
            </m:num>
            <m:den>
              <m:sSub>
                <m:e>
                  <m:r>
                    <m:t xml:space="preserve">τ</m:t>
                  </m:r>
                </m:e>
                <m:sub>
                  <m:r>
                    <m:t xml:space="preserve">j</m:t>
                  </m:r>
                </m:sub>
              </m:sSub>
            </m:den>
          </m:f>
        </m:oMath>
      </m:oMathPara>
    </w:p>
    <w:p>
      <w:r>
        <w:t>R is compressed so that a single extreme prediction cannot dominate the ranking:</w:t>
      </w:r>
    </w:p>
    <w:p>
      <m:oMathPara xmlns:m="http://schemas.openxmlformats.org/officeDocument/2006/math">
        <m:oMath>
          <m:r>
            <m:t xml:space="preserve">E = </m:t>
          </m:r>
          <m:f>
            <m:num>
              <m:r>
                <m:t xml:space="preserve">R</m:t>
              </m:r>
            </m:num>
            <m:den>
              <m:r>
                <m:t xml:space="preserve">1 + R</m:t>
              </m:r>
            </m:den>
          </m:f>
        </m:oMath>
      </m:oMathPara>
    </w:p>
    <w:p>
      <w:r>
        <w:t>The tier T is converted to a context component C, which maps Tiers 1 to 4 to 1, 2/3, 1/3 and 0:</w:t>
      </w:r>
    </w:p>
    <w:p>
      <m:oMathPara xmlns:m="http://schemas.openxmlformats.org/officeDocument/2006/math">
        <m:oMath>
          <m:r>
            <m:t xml:space="preserve">C = </m:t>
          </m:r>
          <m:f>
            <m:num>
              <m:r>
                <m:t xml:space="preserve">4 − T</m:t>
              </m:r>
            </m:num>
            <m:den>
              <m:r>
                <m:t xml:space="preserve">3</m:t>
              </m:r>
            </m:den>
          </m:f>
        </m:oMath>
      </m:oMathPara>
    </w:p>
    <w:p>
      <w:r>
        <w:t>The priority score weights the two components equally:</w:t>
      </w:r>
    </w:p>
    <w:p>
      <m:oMathPara xmlns:m="http://schemas.openxmlformats.org/officeDocument/2006/math">
        <m:oMath>
          <m:r>
            <m:t xml:space="preserve">S = </m:t>
          </m:r>
          <m:f>
            <m:num>
              <m:r>
                <m:t xml:space="preserve">E + C</m:t>
              </m:r>
            </m:num>
            <m:den>
              <m:r>
                <m:t xml:space="preserve">2</m:t>
              </m:r>
            </m:den>
          </m:f>
        </m:oMath>
      </m:oMathPara>
    </w:p>
    <w:p>
      <w:r>
        <w:t>The priority score does not change with the threshold used for mechanism calls.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S2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S3 Table gives the class, basis and citation of all 98 committed expectations, and an automated check enforces agreement between each committed direction and its written basis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S1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17 structural-mechanism variants and the negative class the 30 no-lesion variants in the 47-variant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S4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with pandas, SciPy and scikit-learn.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S2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S3 Table. Committed structural expectations with their evidence basis and citation.</w:t>
      </w:r>
      <w:r>
        <w:t xml:space="preserve"> </w:t>
      </w:r>
      <w:r>
        <w:t>All 98 committed axis expectations, and the five no-lesion variants graded at the whole-variant level, with evidence class, one-line basis and reference.</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0.719. (B) Score over 2,000 resamples of the 14 systems; dashed lines mark the 95% interval (0.625–0.821).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Structural-context comparators on the 47-variant prioritization population.</w:t>
      </w:r>
      <w:r>
        <w:t xml:space="preserve"> </w:t>
      </w:r>
      <w:r>
        <w:t>Sensitivity on the 17 structural-mechanism variants and specificity on the 30 no-lesion variants for interface status alone, the tier without its interface bonus and the full tier (Tier 1–2).</w:t>
      </w:r>
    </w:p>
    <w:p>
      <w:r>
        <w:rPr>
          <w:b/>
        </w:rPr>
        <w:t>S4 Fig. Priority-score transformation and component ranking.</w:t>
      </w:r>
      <w:r>
        <w:t xml:space="preserve"> </w:t>
      </w:r>
      <w:r>
        <w:t>(A) The energy component E = R/(1 + R) as a function of the largest energy ratio R. (B) ROC curves for the priority score and its energy and context components on the 47-variant prioritization population.</w:t>
      </w:r>
    </w:p>
    <w:p>
      <w:r>
        <w:rPr>
          <w:b/>
        </w:rPr>
        <w:t>S5 Fig. Call relationships between predicted and measured energies at 2.5 kcal/mol.</w:t>
      </w:r>
      <w:r>
        <w:t xml:space="preserve"> </w:t>
      </w:r>
      <w:r>
        <w:t>Absolute prediction error for the 63 comparisons, grouped by whether the measured and predicted calls agree (n = 43), disagree with both values within 1.0 kcal/mol of the threshold (borderline, n = 7) or disagree by more (substantive, n = 13). Gray bars mark medians; open circles, barnase Glu73.</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