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76"/>
        <w:jc w:val="center"/>
      </w:pPr>
      <w:r>
        <w:rPr>
          <w:rFonts w:ascii="Arial" w:cs="Arial" w:eastAsia="Arial" w:hAnsi="Arial"/>
          <w:b/>
          <w:bCs/>
          <w:color w:val="1F4E79"/>
          <w:sz w:val="36"/>
          <w:szCs w:val="36"/>
        </w:rPr>
        <w:t xml:space="preserve">CHD Variant Structural Analysis Pipeline</w:t>
      </w:r>
    </w:p>
    <w:p>
      <w:pPr>
        <w:spacing w:after="80" w:before="0" w:line="276"/>
        <w:jc w:val="center"/>
      </w:pPr>
      <w:r>
        <w:rPr>
          <w:rFonts w:ascii="Arial" w:cs="Arial" w:eastAsia="Arial" w:hAnsi="Arial"/>
          <w:color w:val="666666"/>
          <w:sz w:val="28"/>
          <w:szCs w:val="28"/>
        </w:rPr>
        <w:t xml:space="preserve">Technical Methods Document</w:t>
      </w:r>
    </w:p>
    <w:p>
      <w:pPr>
        <w:spacing w:after="40" w:before="0" w:line="276"/>
        <w:jc w:val="center"/>
      </w:pPr>
      <w:r>
        <w:rPr>
          <w:rFonts w:ascii="Arial" w:cs="Arial" w:eastAsia="Arial" w:hAnsi="Arial"/>
          <w:i/>
          <w:iCs/>
          <w:color w:val="888888"/>
          <w:sz w:val="22"/>
          <w:szCs w:val="22"/>
        </w:rPr>
        <w:t xml:space="preserve">Pipeline Version 6.0 + Addendum A3-6</w:t>
      </w:r>
    </w:p>
    <w:p>
      <w:pPr>
        <w:spacing w:after="300" w:before="0" w:line="276"/>
        <w:jc w:val="center"/>
      </w:pPr>
      <w:r>
        <w:rPr>
          <w:rFonts w:ascii="Arial" w:cs="Arial" w:eastAsia="Arial" w:hAnsi="Arial"/>
          <w:color w:val="888888"/>
          <w:sz w:val="22"/>
          <w:szCs w:val="22"/>
        </w:rPr>
        <w:t xml:space="preserve">April 2026</w:t>
      </w:r>
    </w:p>
    <w:p>
      <w:pPr>
        <w:pStyle w:val="Heading1"/>
        <w:spacing w:after="200" w:before="360"/>
      </w:pPr>
      <w:r>
        <w:rPr>
          <w:rFonts w:ascii="Arial" w:cs="Arial" w:eastAsia="Arial" w:hAnsi="Arial"/>
          <w:b/>
          <w:bCs/>
          <w:color w:val="1F4E79"/>
          <w:sz w:val="28"/>
          <w:szCs w:val="28"/>
        </w:rPr>
        <w:t xml:space="preserve">1. Pipeline Overview</w:t>
      </w:r>
    </w:p>
    <w:p>
      <w:pPr>
        <w:spacing w:after="120" w:before="0" w:line="276"/>
      </w:pPr>
      <w:r>
        <w:rPr>
          <w:rFonts w:ascii="Arial" w:cs="Arial" w:eastAsia="Arial" w:hAnsi="Arial"/>
          <w:sz w:val="22"/>
          <w:szCs w:val="22"/>
        </w:rPr>
        <w:t xml:space="preserve">This document describes a computational pipeline for the systematic structural evaluation of missense variant pathogenicity in congenital heart disease (CHD) candidate genes. The pipeline integrates AlphaFold-predicted protein structures, FoldX thermodynamic calculations, AlphaMissense pathogenicity scores, and Franklin/ClinVar clinical annotations into a multi-axis scoring and variant classification framework. It evaluates 163 missense variants across 13 genes: </w:t>
      </w:r>
      <w:r>
        <w:rPr>
          <w:rFonts w:ascii="Arial" w:cs="Arial" w:eastAsia="Arial" w:hAnsi="Arial"/>
          <w:i/>
          <w:iCs/>
          <w:sz w:val="22"/>
          <w:szCs w:val="22"/>
        </w:rPr>
        <w:t xml:space="preserve">SHROOM3</w:t>
      </w:r>
      <w:r>
        <w:rPr>
          <w:rFonts w:ascii="Arial" w:cs="Arial" w:eastAsia="Arial" w:hAnsi="Arial"/>
          <w:sz w:val="22"/>
          <w:szCs w:val="22"/>
        </w:rPr>
        <w:t xml:space="preserve"> (39 variants), </w:t>
      </w:r>
      <w:r>
        <w:rPr>
          <w:rFonts w:ascii="Arial" w:cs="Arial" w:eastAsia="Arial" w:hAnsi="Arial"/>
          <w:i/>
          <w:iCs/>
          <w:sz w:val="22"/>
          <w:szCs w:val="22"/>
        </w:rPr>
        <w:t xml:space="preserve">ZIC3</w:t>
      </w:r>
      <w:r>
        <w:rPr>
          <w:rFonts w:ascii="Arial" w:cs="Arial" w:eastAsia="Arial" w:hAnsi="Arial"/>
          <w:sz w:val="22"/>
          <w:szCs w:val="22"/>
        </w:rPr>
        <w:t xml:space="preserve"> (22), </w:t>
      </w:r>
      <w:r>
        <w:rPr>
          <w:rFonts w:ascii="Arial" w:cs="Arial" w:eastAsia="Arial" w:hAnsi="Arial"/>
          <w:i/>
          <w:iCs/>
          <w:sz w:val="22"/>
          <w:szCs w:val="22"/>
        </w:rPr>
        <w:t xml:space="preserve">DVL2</w:t>
      </w:r>
      <w:r>
        <w:rPr>
          <w:rFonts w:ascii="Arial" w:cs="Arial" w:eastAsia="Arial" w:hAnsi="Arial"/>
          <w:sz w:val="22"/>
          <w:szCs w:val="22"/>
        </w:rPr>
        <w:t xml:space="preserve"> (15), </w:t>
      </w:r>
      <w:r>
        <w:rPr>
          <w:rFonts w:ascii="Arial" w:cs="Arial" w:eastAsia="Arial" w:hAnsi="Arial"/>
          <w:i/>
          <w:iCs/>
          <w:sz w:val="22"/>
          <w:szCs w:val="22"/>
        </w:rPr>
        <w:t xml:space="preserve">CDH2</w:t>
      </w:r>
      <w:r>
        <w:rPr>
          <w:rFonts w:ascii="Arial" w:cs="Arial" w:eastAsia="Arial" w:hAnsi="Arial"/>
          <w:sz w:val="22"/>
          <w:szCs w:val="22"/>
        </w:rPr>
        <w:t xml:space="preserve"> (12), </w:t>
      </w:r>
      <w:r>
        <w:rPr>
          <w:rFonts w:ascii="Arial" w:cs="Arial" w:eastAsia="Arial" w:hAnsi="Arial"/>
          <w:i/>
          <w:iCs/>
          <w:sz w:val="22"/>
          <w:szCs w:val="22"/>
        </w:rPr>
        <w:t xml:space="preserve">GLI3</w:t>
      </w:r>
      <w:r>
        <w:rPr>
          <w:rFonts w:ascii="Arial" w:cs="Arial" w:eastAsia="Arial" w:hAnsi="Arial"/>
          <w:sz w:val="22"/>
          <w:szCs w:val="22"/>
        </w:rPr>
        <w:t xml:space="preserve"> (27), </w:t>
      </w:r>
      <w:r>
        <w:rPr>
          <w:rFonts w:ascii="Arial" w:cs="Arial" w:eastAsia="Arial" w:hAnsi="Arial"/>
          <w:i/>
          <w:iCs/>
          <w:sz w:val="22"/>
          <w:szCs w:val="22"/>
        </w:rPr>
        <w:t xml:space="preserve">ZIC5</w:t>
      </w:r>
      <w:r>
        <w:rPr>
          <w:rFonts w:ascii="Arial" w:cs="Arial" w:eastAsia="Arial" w:hAnsi="Arial"/>
          <w:sz w:val="22"/>
          <w:szCs w:val="22"/>
        </w:rPr>
        <w:t xml:space="preserve"> (14), </w:t>
      </w:r>
      <w:r>
        <w:rPr>
          <w:rFonts w:ascii="Arial" w:cs="Arial" w:eastAsia="Arial" w:hAnsi="Arial"/>
          <w:i/>
          <w:iCs/>
          <w:sz w:val="22"/>
          <w:szCs w:val="22"/>
        </w:rPr>
        <w:t xml:space="preserve">ZIC2</w:t>
      </w:r>
      <w:r>
        <w:rPr>
          <w:rFonts w:ascii="Arial" w:cs="Arial" w:eastAsia="Arial" w:hAnsi="Arial"/>
          <w:sz w:val="22"/>
          <w:szCs w:val="22"/>
        </w:rPr>
        <w:t xml:space="preserve"> (4), </w:t>
      </w:r>
      <w:r>
        <w:rPr>
          <w:rFonts w:ascii="Arial" w:cs="Arial" w:eastAsia="Arial" w:hAnsi="Arial"/>
          <w:i/>
          <w:iCs/>
          <w:sz w:val="22"/>
          <w:szCs w:val="22"/>
        </w:rPr>
        <w:t xml:space="preserve">ROCK2</w:t>
      </w:r>
      <w:r>
        <w:rPr>
          <w:rFonts w:ascii="Arial" w:cs="Arial" w:eastAsia="Arial" w:hAnsi="Arial"/>
          <w:sz w:val="22"/>
          <w:szCs w:val="22"/>
        </w:rPr>
        <w:t xml:space="preserve"> (9), </w:t>
      </w:r>
      <w:r>
        <w:rPr>
          <w:rFonts w:ascii="Arial" w:cs="Arial" w:eastAsia="Arial" w:hAnsi="Arial"/>
          <w:i/>
          <w:iCs/>
          <w:sz w:val="22"/>
          <w:szCs w:val="22"/>
        </w:rPr>
        <w:t xml:space="preserve">TCF7L1</w:t>
      </w:r>
      <w:r>
        <w:rPr>
          <w:rFonts w:ascii="Arial" w:cs="Arial" w:eastAsia="Arial" w:hAnsi="Arial"/>
          <w:sz w:val="22"/>
          <w:szCs w:val="22"/>
        </w:rPr>
        <w:t xml:space="preserve"> (9), </w:t>
      </w:r>
      <w:r>
        <w:rPr>
          <w:rFonts w:ascii="Arial" w:cs="Arial" w:eastAsia="Arial" w:hAnsi="Arial"/>
          <w:i/>
          <w:iCs/>
          <w:sz w:val="22"/>
          <w:szCs w:val="22"/>
        </w:rPr>
        <w:t xml:space="preserve">CTNNB1</w:t>
      </w:r>
      <w:r>
        <w:rPr>
          <w:rFonts w:ascii="Arial" w:cs="Arial" w:eastAsia="Arial" w:hAnsi="Arial"/>
          <w:sz w:val="22"/>
          <w:szCs w:val="22"/>
        </w:rPr>
        <w:t xml:space="preserve"> (3), </w:t>
      </w:r>
      <w:r>
        <w:rPr>
          <w:rFonts w:ascii="Arial" w:cs="Arial" w:eastAsia="Arial" w:hAnsi="Arial"/>
          <w:i/>
          <w:iCs/>
          <w:sz w:val="22"/>
          <w:szCs w:val="22"/>
        </w:rPr>
        <w:t xml:space="preserve">KPNA6</w:t>
      </w:r>
      <w:r>
        <w:rPr>
          <w:rFonts w:ascii="Arial" w:cs="Arial" w:eastAsia="Arial" w:hAnsi="Arial"/>
          <w:sz w:val="22"/>
          <w:szCs w:val="22"/>
        </w:rPr>
        <w:t xml:space="preserve"> (4), </w:t>
      </w:r>
      <w:r>
        <w:rPr>
          <w:rFonts w:ascii="Arial" w:cs="Arial" w:eastAsia="Arial" w:hAnsi="Arial"/>
          <w:i/>
          <w:iCs/>
          <w:sz w:val="22"/>
          <w:szCs w:val="22"/>
        </w:rPr>
        <w:t xml:space="preserve">MDFI</w:t>
      </w:r>
      <w:r>
        <w:rPr>
          <w:rFonts w:ascii="Arial" w:cs="Arial" w:eastAsia="Arial" w:hAnsi="Arial"/>
          <w:sz w:val="22"/>
          <w:szCs w:val="22"/>
        </w:rPr>
        <w:t xml:space="preserve"> (3), and </w:t>
      </w:r>
      <w:r>
        <w:rPr>
          <w:rFonts w:ascii="Arial" w:cs="Arial" w:eastAsia="Arial" w:hAnsi="Arial"/>
          <w:i/>
          <w:iCs/>
          <w:sz w:val="22"/>
          <w:szCs w:val="22"/>
        </w:rPr>
        <w:t xml:space="preserve">KPNA1</w:t>
      </w:r>
      <w:r>
        <w:rPr>
          <w:rFonts w:ascii="Arial" w:cs="Arial" w:eastAsia="Arial" w:hAnsi="Arial"/>
          <w:sz w:val="22"/>
          <w:szCs w:val="22"/>
        </w:rPr>
        <w:t xml:space="preserve"> (2).</w:t>
      </w:r>
    </w:p>
    <w:p>
      <w:pPr>
        <w:spacing w:after="120" w:before="0" w:line="276"/>
      </w:pPr>
      <w:r>
        <w:rPr>
          <w:rFonts w:ascii="Arial" w:cs="Arial" w:eastAsia="Arial" w:hAnsi="Arial"/>
          <w:sz w:val="22"/>
          <w:szCs w:val="22"/>
        </w:rPr>
        <w:t xml:space="preserve">The pipeline employs a dual-pipeline architecture. Pipeline 1 scores variants based on single-residue structural disruption (contact count, burial, interface status). Pipeline 2 scores variants using a neighborhood window of ±3 residues with distance-weighted contact summation, providing robustness against single-position artifacts. Both pipelines share the same tiering thresholds, mechanism classification, and concordance framework. Pipeline agreement between the two is tracked to flag variants where local context changes the assessment.</w:t>
      </w:r>
    </w:p>
    <w:p>
      <w:pPr>
        <w:spacing w:after="120" w:before="0" w:line="276"/>
      </w:pPr>
      <w:r>
        <w:rPr>
          <w:rFonts w:ascii="Arial" w:cs="Arial" w:eastAsia="Arial" w:hAnsi="Arial"/>
          <w:sz w:val="22"/>
          <w:szCs w:val="22"/>
        </w:rPr>
        <w:t xml:space="preserve">The pipeline produces 348 columns per variant across four output sheets: Summary, Monomer Detail, Multimer Detail, DDG Detail, and Concordance Detail.</w:t>
      </w:r>
    </w:p>
    <w:p>
      <w:pPr>
        <w:pStyle w:val="Heading1"/>
        <w:spacing w:after="200" w:before="360"/>
      </w:pPr>
      <w:r>
        <w:rPr>
          <w:rFonts w:ascii="Arial" w:cs="Arial" w:eastAsia="Arial" w:hAnsi="Arial"/>
          <w:b/>
          <w:bCs/>
          <w:color w:val="1F4E79"/>
          <w:sz w:val="28"/>
          <w:szCs w:val="28"/>
        </w:rPr>
        <w:t xml:space="preserve">2. Input Data and Structures</w:t>
      </w:r>
    </w:p>
    <w:p>
      <w:pPr>
        <w:pStyle w:val="Heading2"/>
        <w:spacing w:after="160" w:before="280"/>
      </w:pPr>
      <w:r>
        <w:rPr>
          <w:rFonts w:ascii="Arial" w:cs="Arial" w:eastAsia="Arial" w:hAnsi="Arial"/>
          <w:b/>
          <w:bCs/>
          <w:color w:val="1F4E79"/>
          <w:sz w:val="24"/>
          <w:szCs w:val="24"/>
        </w:rPr>
        <w:t xml:space="preserve">2.1 Variant Input</w:t>
      </w:r>
    </w:p>
    <w:p>
      <w:pPr>
        <w:spacing w:after="120" w:before="0" w:line="276"/>
      </w:pPr>
      <w:r>
        <w:rPr>
          <w:rFonts w:ascii="Arial" w:cs="Arial" w:eastAsia="Arial" w:hAnsi="Arial"/>
          <w:sz w:val="22"/>
          <w:szCs w:val="22"/>
        </w:rPr>
        <w:t xml:space="preserve">Variants are supplied as a CSV file with columns: gene, position (1-indexed amino acid), ref_aa (single-letter wild-type amino acid), and alt_aa (single-letter mutant amino acid). Optional pre-computed annotation columns (AlphaMissense scores, Franklin/ClinVar classifications) may be included. Duplicate rows (defined by gene, position, ref_aa, alt_aa) are automatically removed.</w:t>
      </w:r>
    </w:p>
    <w:p>
      <w:pPr>
        <w:pStyle w:val="Heading2"/>
        <w:spacing w:after="160" w:before="280"/>
      </w:pPr>
      <w:r>
        <w:rPr>
          <w:rFonts w:ascii="Arial" w:cs="Arial" w:eastAsia="Arial" w:hAnsi="Arial"/>
          <w:b/>
          <w:bCs/>
          <w:color w:val="1F4E79"/>
          <w:sz w:val="24"/>
          <w:szCs w:val="24"/>
        </w:rPr>
        <w:t xml:space="preserve">2.2 Protein Structures</w:t>
      </w:r>
    </w:p>
    <w:p>
      <w:pPr>
        <w:spacing w:after="120" w:before="0" w:line="276"/>
      </w:pPr>
      <w:r>
        <w:rPr>
          <w:rFonts w:ascii="Arial" w:cs="Arial" w:eastAsia="Arial" w:hAnsi="Arial"/>
          <w:sz w:val="22"/>
          <w:szCs w:val="22"/>
        </w:rPr>
        <w:t xml:space="preserve">Monomer and multimer structures are sourced from the AlphaFold Protein Structure Database and the AlphaFold Server. Monomer structures are available for all 13 genes in either PDB or mmCIF format (or both). Multimer structures model 13 binary protein–protein complexes across two interaction networks: the SHROOM3 interactome (8 complexes) and the ZIC3 interactome (5 complexes).</w:t>
      </w:r>
    </w:p>
    <w:p>
      <w:pPr>
        <w:spacing w:after="120" w:before="0" w:line="276"/>
      </w:pPr>
      <w:r>
        <w:rPr>
          <w:rFonts w:ascii="Arial" w:cs="Arial" w:eastAsia="Arial" w:hAnsi="Arial"/>
          <w:sz w:val="22"/>
          <w:szCs w:val="22"/>
        </w:rPr>
        <w:t xml:space="preserve">For pLDDT extraction: </w:t>
      </w:r>
      <w:r>
        <w:rPr>
          <w:rFonts w:ascii="Arial" w:cs="Arial" w:eastAsia="Arial" w:hAnsi="Arial"/>
          <w:i/>
          <w:iCs/>
          <w:sz w:val="22"/>
          <w:szCs w:val="22"/>
        </w:rPr>
        <w:t xml:space="preserve">CIF files are preferred for genes where PDB B-factors are zeroed (SHROOM3, CDH2, DVL2, CTNNB1, ZIC3, ACTB). PDB B-factors are used for GLI3, KPNA1, KPNA6, MDFI, ROCK2, and TCF7L1.</w:t>
      </w:r>
      <w:r>
        <w:rPr>
          <w:rFonts w:ascii="Arial" w:cs="Arial" w:eastAsia="Arial" w:hAnsi="Arial"/>
          <w:sz w:val="22"/>
          <w:szCs w:val="22"/>
        </w:rPr>
        <w:t xml:space="preserve"> For multimer structures, PDB files are used preferentially because chain ordering is consistent across PDB format, whereas CIF chain assignments may vary.</w:t>
      </w:r>
    </w:p>
    <w:p>
      <w:pPr>
        <w:pStyle w:val="Heading3"/>
        <w:spacing w:after="120" w:before="200"/>
      </w:pPr>
      <w:r>
        <w:rPr>
          <w:rFonts w:ascii="Arial" w:cs="Arial" w:eastAsia="Arial" w:hAnsi="Arial"/>
          <w:b/>
          <w:bCs/>
          <w:color w:val="333333"/>
          <w:sz w:val="22"/>
          <w:szCs w:val="22"/>
        </w:rPr>
        <w:t xml:space="preserve">2.2.1 SHROOM3 Interaction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700"/>
        <w:gridCol w:w="27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Complex</w:t>
            </w:r>
          </w:p>
        </w:tc>
        <w:tc>
          <w:tcPr>
            <w:tcW w:type="dxa" w:w="1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Chain A</w:t>
            </w:r>
          </w:p>
        </w:tc>
        <w:tc>
          <w:tcPr>
            <w:tcW w:type="dxa" w:w="1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Chain B</w:t>
            </w:r>
          </w:p>
        </w:tc>
        <w:tc>
          <w:tcPr>
            <w:tcW w:type="dxa" w:w="2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Complex Label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SHROOM3–Actin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SHROOM3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Actin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actin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SHROOM3–ACTB</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ACTB</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SHROOM3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actb</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SHROOM3–DVL2</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SHROOM3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DVL2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dvl2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SHROOM3–CDH2 (truncated)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SHROOM3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CDH2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cdh2_truncated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SHROOM3–CTNNB1</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SHROOM3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CTNNB1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ctnnb1</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SHROOM3–CDH2 (cytoplasmic)</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SHROOM3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CDH2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cdh2_cyto</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SHROOM3–ACTB (no binding)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SHROOM3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ACTB</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actb_no_bind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SHROOM3–ROCK2</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SHROOM3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ROCK2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rock2</w:t>
            </w:r>
          </w:p>
        </w:tc>
      </w:tr>
    </w:tbl>
    <w:p>
      <w:pPr>
        <w:pStyle w:val="Heading3"/>
        <w:spacing w:after="120" w:before="200"/>
      </w:pPr>
      <w:r>
        <w:rPr>
          <w:rFonts w:ascii="Arial" w:cs="Arial" w:eastAsia="Arial" w:hAnsi="Arial"/>
          <w:b/>
          <w:bCs/>
          <w:color w:val="333333"/>
          <w:sz w:val="22"/>
          <w:szCs w:val="22"/>
        </w:rPr>
        <w:t xml:space="preserve">2.2.2 ZIC3 Interaction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700"/>
        <w:gridCol w:w="27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Complex</w:t>
            </w:r>
          </w:p>
        </w:tc>
        <w:tc>
          <w:tcPr>
            <w:tcW w:type="dxa" w:w="1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Chain A</w:t>
            </w:r>
          </w:p>
        </w:tc>
        <w:tc>
          <w:tcPr>
            <w:tcW w:type="dxa" w:w="1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Chain B</w:t>
            </w:r>
          </w:p>
        </w:tc>
        <w:tc>
          <w:tcPr>
            <w:tcW w:type="dxa" w:w="2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Complex Label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ZIC3–GLI3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ZIC3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GLI3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gli3</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ZIC3–KPNA1</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ZIC3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KPNA1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kpna1</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ZIC3–KPNA6</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ZIC3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KPNA6</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kpna6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ZIC3–MDFI</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ZIC3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MDFI</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mdfi</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ZIC3–TCF7L1</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ZIC3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TCF7L1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tcf7l1</w:t>
            </w:r>
          </w:p>
        </w:tc>
      </w:tr>
    </w:tbl>
    <w:p>
      <w:pPr>
        <w:pStyle w:val="Heading3"/>
        <w:spacing w:after="120" w:before="200"/>
      </w:pPr>
      <w:r>
        <w:rPr>
          <w:rFonts w:ascii="Arial" w:cs="Arial" w:eastAsia="Arial" w:hAnsi="Arial"/>
          <w:b/>
          <w:bCs/>
          <w:color w:val="333333"/>
          <w:sz w:val="22"/>
          <w:szCs w:val="22"/>
        </w:rPr>
        <w:t xml:space="preserve">2.2.3 CDH2 Construct Offset Corrections</w:t>
      </w:r>
    </w:p>
    <w:p>
      <w:pPr>
        <w:spacing w:after="120" w:before="0" w:line="276"/>
      </w:pPr>
      <w:r>
        <w:rPr>
          <w:rFonts w:ascii="Arial" w:cs="Arial" w:eastAsia="Arial" w:hAnsi="Arial"/>
          <w:sz w:val="22"/>
          <w:szCs w:val="22"/>
        </w:rPr>
        <w:t xml:space="preserve">Two CDH2 multimer constructs model different fragments of the full-length protein. The truncated construct begins at full-length residue 160 (offset −159), and the cytoplasmic domain construct begins at residue 746 (offset −745). All variant positions are corrected to construct-local numbering before structural lookups; variants at positions ≤159 (truncated) or ≤745 (cytoplasmic) fall outside the construct range and are nullified.</w:t>
      </w:r>
    </w:p>
    <w:p>
      <w:pPr>
        <w:pStyle w:val="Heading3"/>
        <w:spacing w:after="120" w:before="200"/>
      </w:pPr>
      <w:r>
        <w:rPr>
          <w:rFonts w:ascii="Arial" w:cs="Arial" w:eastAsia="Arial" w:hAnsi="Arial"/>
          <w:b/>
          <w:bCs/>
          <w:color w:val="333333"/>
          <w:sz w:val="22"/>
          <w:szCs w:val="22"/>
        </w:rPr>
        <w:t xml:space="preserve">2.2.4 Bidirectional Variant Mapping</w:t>
      </w:r>
    </w:p>
    <w:p>
      <w:pPr>
        <w:spacing w:after="120" w:before="0" w:line="276"/>
      </w:pPr>
      <w:r>
        <w:rPr>
          <w:rFonts w:ascii="Arial" w:cs="Arial" w:eastAsia="Arial" w:hAnsi="Arial"/>
          <w:sz w:val="22"/>
          <w:szCs w:val="22"/>
        </w:rPr>
        <w:t xml:space="preserve">Variants in genes appearing as chain B in a complex (DVL2, CDH2, CTNNB1, ROCK2, GLI3, KPNA1, KPNA6, MDFI) are handled via a bidirectional complex lookup table. This mapping ensures that interface status, contacts, and FoldX DDG calculations use the correct chain assignment regardless of whether the variant gene is chain A or chain B in the AlphaFold prediction.</w:t>
      </w:r>
    </w:p>
    <w:p>
      <w:pPr>
        <w:pStyle w:val="Heading1"/>
        <w:spacing w:after="200" w:before="360"/>
      </w:pPr>
      <w:r>
        <w:rPr>
          <w:rFonts w:ascii="Arial" w:cs="Arial" w:eastAsia="Arial" w:hAnsi="Arial"/>
          <w:b/>
          <w:bCs/>
          <w:color w:val="1F4E79"/>
          <w:sz w:val="28"/>
          <w:szCs w:val="28"/>
        </w:rPr>
        <w:t xml:space="preserve">3. Structural Feature Extraction</w:t>
      </w:r>
    </w:p>
    <w:p>
      <w:pPr>
        <w:pStyle w:val="Heading2"/>
        <w:spacing w:after="160" w:before="280"/>
      </w:pPr>
      <w:r>
        <w:rPr>
          <w:rFonts w:ascii="Arial" w:cs="Arial" w:eastAsia="Arial" w:hAnsi="Arial"/>
          <w:b/>
          <w:bCs/>
          <w:color w:val="1F4E79"/>
          <w:sz w:val="24"/>
          <w:szCs w:val="24"/>
        </w:rPr>
        <w:t xml:space="preserve">3.1 Monomer Features (Cell 4)</w:t>
      </w:r>
    </w:p>
    <w:p>
      <w:pPr>
        <w:spacing w:after="120" w:before="0" w:line="276"/>
      </w:pPr>
      <w:r>
        <w:rPr>
          <w:rFonts w:ascii="Arial" w:cs="Arial" w:eastAsia="Arial" w:hAnsi="Arial"/>
          <w:sz w:val="22"/>
          <w:szCs w:val="22"/>
        </w:rPr>
        <w:t xml:space="preserve">For each variant position in the monomer structure, the pipeline extracts:</w:t>
      </w:r>
    </w:p>
    <w:p>
      <w:pPr>
        <w:spacing w:after="80" w:before="0" w:line="276"/>
      </w:pPr>
      <w:r>
        <w:rPr>
          <w:rFonts w:ascii="Arial" w:cs="Arial" w:eastAsia="Arial" w:hAnsi="Arial"/>
          <w:b/>
          <w:bCs/>
          <w:sz w:val="22"/>
          <w:szCs w:val="22"/>
        </w:rPr>
        <w:t xml:space="preserve">pLDDT confidence score: </w:t>
      </w:r>
      <w:r>
        <w:rPr>
          <w:rFonts w:ascii="Arial" w:cs="Arial" w:eastAsia="Arial" w:hAnsi="Arial"/>
          <w:sz w:val="22"/>
          <w:szCs w:val="22"/>
        </w:rPr>
        <w:t xml:space="preserve">Per-residue AlphaFold confidence from B-factors (CA atom), with CIF preferred for genes with zeroed PDB B-factors. Classified as very_high (≥90), confident (≥70), low (≥50), or very_low (&lt;50).</w:t>
      </w:r>
    </w:p>
    <w:p>
      <w:pPr>
        <w:spacing w:after="80" w:before="0" w:line="276"/>
      </w:pPr>
      <w:r>
        <w:rPr>
          <w:rFonts w:ascii="Arial" w:cs="Arial" w:eastAsia="Arial" w:hAnsi="Arial"/>
          <w:b/>
          <w:bCs/>
          <w:sz w:val="22"/>
          <w:szCs w:val="22"/>
        </w:rPr>
        <w:t xml:space="preserve">Residue contact count: </w:t>
      </w:r>
      <w:r>
        <w:rPr>
          <w:rFonts w:ascii="Arial" w:cs="Arial" w:eastAsia="Arial" w:hAnsi="Arial"/>
          <w:sz w:val="22"/>
          <w:szCs w:val="22"/>
        </w:rPr>
        <w:t xml:space="preserve">The number of unique residue–residue contacts within 5.0 Å, excluding sequence neighbors within ±2 positions (sequence separation ≥3). Contacts are computed over all heavy atoms.</w:t>
      </w:r>
    </w:p>
    <w:p>
      <w:pPr>
        <w:spacing w:after="80" w:before="0" w:line="276"/>
      </w:pPr>
      <w:r>
        <w:rPr>
          <w:rFonts w:ascii="Arial" w:cs="Arial" w:eastAsia="Arial" w:hAnsi="Arial"/>
          <w:b/>
          <w:bCs/>
          <w:sz w:val="22"/>
          <w:szCs w:val="22"/>
        </w:rPr>
        <w:t xml:space="preserve">Relative solvent accessibility: </w:t>
      </w:r>
      <w:r>
        <w:rPr>
          <w:rFonts w:ascii="Arial" w:cs="Arial" w:eastAsia="Arial" w:hAnsi="Arial"/>
          <w:sz w:val="22"/>
          <w:szCs w:val="22"/>
        </w:rPr>
        <w:t xml:space="preserve">Computed using the Shrake–Rupley algorithm (Biopython 1.86). Normalized against theoretical Gly-X-Gly maxima (Tien et al., 2013). Classified as buried_core (&lt;0.05), partially_buried (0.05–0.25), or surface_exposed (≥0.25).</w:t>
      </w:r>
    </w:p>
    <w:p>
      <w:pPr>
        <w:spacing w:after="80" w:before="0" w:line="276"/>
      </w:pPr>
      <w:r>
        <w:rPr>
          <w:rFonts w:ascii="Arial" w:cs="Arial" w:eastAsia="Arial" w:hAnsi="Arial"/>
          <w:b/>
          <w:bCs/>
          <w:sz w:val="22"/>
          <w:szCs w:val="22"/>
        </w:rPr>
        <w:t xml:space="preserve">Secondary structure: </w:t>
      </w:r>
      <w:r>
        <w:rPr>
          <w:rFonts w:ascii="Arial" w:cs="Arial" w:eastAsia="Arial" w:hAnsi="Arial"/>
          <w:sz w:val="22"/>
          <w:szCs w:val="22"/>
        </w:rPr>
        <w:t xml:space="preserve">Assigned via DSSP (mkdssp v4) from the PDB file. Falls back to coil (‘-’) if DSSP is unavailable.</w:t>
      </w:r>
    </w:p>
    <w:p>
      <w:pPr>
        <w:spacing w:after="80" w:before="0" w:line="276"/>
      </w:pPr>
      <w:r>
        <w:rPr>
          <w:rFonts w:ascii="Arial" w:cs="Arial" w:eastAsia="Arial" w:hAnsi="Arial"/>
          <w:b/>
          <w:bCs/>
          <w:sz w:val="22"/>
          <w:szCs w:val="22"/>
        </w:rPr>
        <w:t xml:space="preserve">Grantham distance: </w:t>
      </w:r>
      <w:r>
        <w:rPr>
          <w:rFonts w:ascii="Arial" w:cs="Arial" w:eastAsia="Arial" w:hAnsi="Arial"/>
          <w:sz w:val="22"/>
          <w:szCs w:val="22"/>
        </w:rPr>
        <w:t xml:space="preserve">Physicochemical distance between wild-type and mutant amino acids. Classified as conservative (≤50), moderately_conservative (51–100), moderately_radical (101–150), or radical (&gt;150). Substitution severity is the normalized Grantham score (distance / 53.75, capped at 4.0).</w:t>
      </w:r>
    </w:p>
    <w:p>
      <w:pPr>
        <w:pStyle w:val="Heading3"/>
        <w:spacing w:after="120" w:before="200"/>
      </w:pPr>
      <w:r>
        <w:rPr>
          <w:rFonts w:ascii="Arial" w:cs="Arial" w:eastAsia="Arial" w:hAnsi="Arial"/>
          <w:b/>
          <w:bCs/>
          <w:color w:val="333333"/>
          <w:sz w:val="22"/>
          <w:szCs w:val="22"/>
        </w:rPr>
        <w:t xml:space="preserve">3.1.1 Neighborhood ±3 Extraction</w:t>
      </w:r>
    </w:p>
    <w:p>
      <w:pPr>
        <w:spacing w:after="120" w:before="0" w:line="276"/>
      </w:pPr>
      <w:r>
        <w:rPr>
          <w:rFonts w:ascii="Arial" w:cs="Arial" w:eastAsia="Arial" w:hAnsi="Arial"/>
          <w:sz w:val="22"/>
          <w:szCs w:val="22"/>
        </w:rPr>
        <w:t xml:space="preserve">For each variant position, the pipeline also extracts contacts for the ±3 residue neighborhood window. Flanking positions are weighted by proximity: offset 0 = 1.00, ±1 = 0.75, ±2 = 0.50, ±3 = 0.25. The weighted sum is the neighborhood contact score. Flanking residues with pLDDT &lt; 50 are zeroed but do not invalidate the window. The variant position itself must have pLDDT ≥ 50 for the neighborhood to be considered evaluable.</w:t>
      </w:r>
    </w:p>
    <w:p>
      <w:pPr>
        <w:pStyle w:val="Heading2"/>
        <w:spacing w:after="160" w:before="280"/>
      </w:pPr>
      <w:r>
        <w:rPr>
          <w:rFonts w:ascii="Arial" w:cs="Arial" w:eastAsia="Arial" w:hAnsi="Arial"/>
          <w:b/>
          <w:bCs/>
          <w:color w:val="1F4E79"/>
          <w:sz w:val="24"/>
          <w:szCs w:val="24"/>
        </w:rPr>
        <w:t xml:space="preserve">3.2 Multimer Features (Cell 5)</w:t>
      </w:r>
    </w:p>
    <w:p>
      <w:pPr>
        <w:spacing w:after="120" w:before="0" w:line="276"/>
      </w:pPr>
      <w:r>
        <w:rPr>
          <w:rFonts w:ascii="Arial" w:cs="Arial" w:eastAsia="Arial" w:hAnsi="Arial"/>
          <w:sz w:val="22"/>
          <w:szCs w:val="22"/>
        </w:rPr>
        <w:t xml:space="preserve">For each variant in each multimer complex where the gene appears (either as chain A or chain B), the pipeline extracts per-partner metrics:</w:t>
      </w:r>
    </w:p>
    <w:p>
      <w:pPr>
        <w:spacing w:after="80" w:before="0" w:line="276"/>
      </w:pPr>
      <w:r>
        <w:rPr>
          <w:rFonts w:ascii="Arial" w:cs="Arial" w:eastAsia="Arial" w:hAnsi="Arial"/>
          <w:b/>
          <w:bCs/>
          <w:sz w:val="22"/>
          <w:szCs w:val="22"/>
        </w:rPr>
        <w:t xml:space="preserve">Inter-chain contacts: </w:t>
      </w:r>
      <w:r>
        <w:rPr>
          <w:rFonts w:ascii="Arial" w:cs="Arial" w:eastAsia="Arial" w:hAnsi="Arial"/>
          <w:sz w:val="22"/>
          <w:szCs w:val="22"/>
        </w:rPr>
        <w:t xml:space="preserve">The number of unique partner-chain residues within 5.0 Å of any atom in the variant residue. A variant with ≥1 inter-chain contact is classified as an interface residue for that partner.</w:t>
      </w:r>
    </w:p>
    <w:p>
      <w:pPr>
        <w:spacing w:after="80" w:before="0" w:line="276"/>
      </w:pPr>
      <w:r>
        <w:rPr>
          <w:rFonts w:ascii="Arial" w:cs="Arial" w:eastAsia="Arial" w:hAnsi="Arial"/>
          <w:b/>
          <w:bCs/>
          <w:sz w:val="22"/>
          <w:szCs w:val="22"/>
        </w:rPr>
        <w:t xml:space="preserve">Neighborhood inter-chain contacts: </w:t>
      </w:r>
      <w:r>
        <w:rPr>
          <w:rFonts w:ascii="Arial" w:cs="Arial" w:eastAsia="Arial" w:hAnsi="Arial"/>
          <w:sz w:val="22"/>
          <w:szCs w:val="22"/>
        </w:rPr>
        <w:t xml:space="preserve">The ±3 window inter-chain contact score, using the same distance weighting as monomer neighborhoods. A variant with any inter-chain contact in its ±3 window (at pLDDT ≥ 50 positions) is flagged as having neighborhood interface status.</w:t>
      </w:r>
    </w:p>
    <w:p>
      <w:pPr>
        <w:spacing w:after="120" w:before="0" w:line="276"/>
      </w:pPr>
      <w:r>
        <w:rPr>
          <w:rFonts w:ascii="Arial" w:cs="Arial" w:eastAsia="Arial" w:hAnsi="Arial"/>
          <w:sz w:val="22"/>
          <w:szCs w:val="22"/>
        </w:rPr>
        <w:t xml:space="preserve">Summary columns aggregate across all complexes: n_multimer_complexes (number of complexes with data), is_interface_any (True if interface in any complex), interface_partners (semicolon-delimited list), and multimer_plddt_max/avg.</w:t>
      </w:r>
    </w:p>
    <w:p>
      <w:pPr>
        <w:pStyle w:val="Heading1"/>
        <w:spacing w:after="200" w:before="360"/>
      </w:pPr>
      <w:r>
        <w:rPr>
          <w:rFonts w:ascii="Arial" w:cs="Arial" w:eastAsia="Arial" w:hAnsi="Arial"/>
          <w:b/>
          <w:bCs/>
          <w:color w:val="1F4E79"/>
          <w:sz w:val="28"/>
          <w:szCs w:val="28"/>
        </w:rPr>
        <w:t xml:space="preserve">4. FoldX Thermodynamic Calculations</w:t>
      </w:r>
    </w:p>
    <w:p>
      <w:pPr>
        <w:pStyle w:val="Heading2"/>
        <w:spacing w:after="160" w:before="280"/>
      </w:pPr>
      <w:r>
        <w:rPr>
          <w:rFonts w:ascii="Arial" w:cs="Arial" w:eastAsia="Arial" w:hAnsi="Arial"/>
          <w:b/>
          <w:bCs/>
          <w:color w:val="1F4E79"/>
          <w:sz w:val="24"/>
          <w:szCs w:val="24"/>
        </w:rPr>
        <w:t xml:space="preserve">4.1 Three-Axis DDG Framework</w:t>
      </w:r>
    </w:p>
    <w:p>
      <w:pPr>
        <w:spacing w:after="120" w:before="0" w:line="276"/>
      </w:pPr>
      <w:r>
        <w:rPr>
          <w:rFonts w:ascii="Arial" w:cs="Arial" w:eastAsia="Arial" w:hAnsi="Arial"/>
          <w:sz w:val="22"/>
          <w:szCs w:val="22"/>
        </w:rPr>
        <w:t xml:space="preserve">The pipeline separates thermodynamic effects into three independent axes, each representing a distinct biophysical phenomenon: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29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Axis</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Method</w:t>
            </w:r>
          </w:p>
        </w:tc>
        <w:tc>
          <w:tcPr>
            <w:tcW w:type="dxa" w:w="2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Interpretation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Axis 1: Monomer fold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ddg_monomer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FoldX BuildModel on monomer PDB</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Intrinsic fold stability change in isolation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Axis 2: Complex fold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ddg_fold_{partner}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FoldX BuildModel total energy on complex PDB</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Fold stability change in the context of the partner protein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Axis 3: Binding energy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ddg_binding_{partner}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FoldX AnalyseComplex: IE(mutant) − IE(wild-type)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Change in protein–protein interaction energy</w:t>
            </w:r>
          </w:p>
        </w:tc>
      </w:tr>
    </w:tbl>
    <w:p>
      <w:pPr>
        <w:spacing w:after="120" w:before="0" w:line="276"/>
      </w:pPr>
      <w:r>
        <w:rPr>
          <w:rFonts w:ascii="Arial" w:cs="Arial" w:eastAsia="Arial" w:hAnsi="Arial"/>
          <w:b/>
          <w:bCs/>
          <w:sz w:val="22"/>
          <w:szCs w:val="22"/>
        </w:rPr>
        <w:t xml:space="preserve">The distinction between Axis 2 and Axis 3 is biologically critical. </w:t>
      </w:r>
      <w:r>
        <w:rPr>
          <w:rFonts w:ascii="Arial" w:cs="Arial" w:eastAsia="Arial" w:hAnsi="Arial"/>
          <w:sz w:val="22"/>
          <w:szCs w:val="22"/>
        </w:rPr>
        <w:t xml:space="preserve">A variant can destabilize the local fold (positive Axis 2) while simultaneously strengthening interface contacts (negative Axis 3), producing a “fold destabilization + PPI stabilization” conflicting signal. This pattern is observed in ZIC3–GLI3 interactions and is consistent with distributed interface contacts where a fold perturbation repositions side chains that improve binding geometry.</w:t>
      </w:r>
    </w:p>
    <w:p>
      <w:pPr>
        <w:pStyle w:val="Heading2"/>
        <w:spacing w:after="160" w:before="280"/>
      </w:pPr>
      <w:r>
        <w:rPr>
          <w:rFonts w:ascii="Arial" w:cs="Arial" w:eastAsia="Arial" w:hAnsi="Arial"/>
          <w:b/>
          <w:bCs/>
          <w:color w:val="1F4E79"/>
          <w:sz w:val="24"/>
          <w:szCs w:val="24"/>
        </w:rPr>
        <w:t xml:space="preserve">4.2 FoldX Execution Protocol</w:t>
      </w:r>
    </w:p>
    <w:p>
      <w:pPr>
        <w:spacing w:after="120" w:before="0" w:line="276"/>
      </w:pPr>
      <w:r>
        <w:rPr>
          <w:rFonts w:ascii="Arial" w:cs="Arial" w:eastAsia="Arial" w:hAnsi="Arial"/>
          <w:b/>
          <w:bCs/>
          <w:sz w:val="22"/>
          <w:szCs w:val="22"/>
        </w:rPr>
        <w:t xml:space="preserve">RepairPDB pre-processing (A3-6 Fix 1): </w:t>
      </w:r>
      <w:r>
        <w:rPr>
          <w:rFonts w:ascii="Arial" w:cs="Arial" w:eastAsia="Arial" w:hAnsi="Arial"/>
          <w:sz w:val="22"/>
          <w:szCs w:val="22"/>
        </w:rPr>
        <w:t xml:space="preserve">Before any BuildModel calculation, all AlphaFold structures are processed through FoldX’s RepairPDB command to optimize the structure within FoldX’s force field. This reduces DDG noise from steric artifacts in AlphaFold predictions. Repaired structures are cached per PDB file to avoid redundant computation across variants.</w:t>
      </w:r>
    </w:p>
    <w:p>
      <w:pPr>
        <w:spacing w:after="120" w:before="0" w:line="276"/>
      </w:pPr>
      <w:r>
        <w:rPr>
          <w:rFonts w:ascii="Arial" w:cs="Arial" w:eastAsia="Arial" w:hAnsi="Arial"/>
          <w:b/>
          <w:bCs/>
          <w:sz w:val="22"/>
          <w:szCs w:val="22"/>
        </w:rPr>
        <w:t xml:space="preserve">Monomer DDG (Cell 6a): </w:t>
      </w:r>
      <w:r>
        <w:rPr>
          <w:rFonts w:ascii="Arial" w:cs="Arial" w:eastAsia="Arial" w:hAnsi="Arial"/>
          <w:sz w:val="22"/>
          <w:szCs w:val="22"/>
        </w:rPr>
        <w:t xml:space="preserve">FoldX BuildModel is run with 3 replicates on the repaired monomer PDB. The reported DDG is the mean across replicates. The Dif output file is parsed for the total energy difference.</w:t>
      </w:r>
    </w:p>
    <w:p>
      <w:pPr>
        <w:spacing w:after="120" w:before="0" w:line="276"/>
      </w:pPr>
      <w:r>
        <w:rPr>
          <w:rFonts w:ascii="Arial" w:cs="Arial" w:eastAsia="Arial" w:hAnsi="Arial"/>
          <w:b/>
          <w:bCs/>
          <w:sz w:val="22"/>
          <w:szCs w:val="22"/>
        </w:rPr>
        <w:t xml:space="preserve">Multimer DDG (Cell 6b): </w:t>
      </w:r>
      <w:r>
        <w:rPr>
          <w:rFonts w:ascii="Arial" w:cs="Arial" w:eastAsia="Arial" w:hAnsi="Arial"/>
          <w:sz w:val="22"/>
          <w:szCs w:val="22"/>
        </w:rPr>
        <w:t xml:space="preserve">For interface variants, the protocol is: (1) RepairPDB on the complex structure, (2) AnalyseComplex on the wild-type to obtain wild-type interaction energy (IE_wt), (3) BuildModel to generate the mutant structure, (4) AnalyseComplex on the mutant to obtain IE_mut. The binding DDG is IE_mut − IE_wt. The fold DDG is the BuildModel total energy change.</w:t>
      </w:r>
    </w:p>
    <w:p>
      <w:pPr>
        <w:pStyle w:val="Heading2"/>
        <w:spacing w:after="160" w:before="280"/>
      </w:pPr>
      <w:r>
        <w:rPr>
          <w:rFonts w:ascii="Arial" w:cs="Arial" w:eastAsia="Arial" w:hAnsi="Arial"/>
          <w:b/>
          <w:bCs/>
          <w:color w:val="1F4E79"/>
          <w:sz w:val="24"/>
          <w:szCs w:val="24"/>
        </w:rPr>
        <w:t xml:space="preserve">4.3 DDG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DDG Range (kcal/mol)</w:t>
            </w:r>
          </w:p>
        </w:tc>
        <w:tc>
          <w:tcPr>
            <w:tcW w:type="dxa" w:w="46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Category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&gt; 2.0</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Highly destabilizing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1.0 to 2.0</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Destabilizing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0.5 to 1.0</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Mildly destabilizing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−0.5 to 0.5</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Neutral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−1.0 to −0.5</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Mildly stabilizing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−2.0 to −1.0</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Stabilizing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&lt; −2.0</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Highly stabilizing</w:t>
            </w:r>
          </w:p>
        </w:tc>
      </w:tr>
    </w:tbl>
    <w:p>
      <w:pPr>
        <w:pStyle w:val="Heading2"/>
        <w:spacing w:after="160" w:before="280"/>
      </w:pPr>
      <w:r>
        <w:rPr>
          <w:rFonts w:ascii="Arial" w:cs="Arial" w:eastAsia="Arial" w:hAnsi="Arial"/>
          <w:b/>
          <w:bCs/>
          <w:color w:val="1F4E79"/>
          <w:sz w:val="24"/>
          <w:szCs w:val="24"/>
        </w:rPr>
        <w:t xml:space="preserve">4.4 DDG Confidence Gating</w:t>
      </w:r>
    </w:p>
    <w:p>
      <w:pPr>
        <w:spacing w:after="120" w:before="0" w:line="276"/>
      </w:pPr>
      <w:r>
        <w:rPr>
          <w:rFonts w:ascii="Arial" w:cs="Arial" w:eastAsia="Arial" w:hAnsi="Arial"/>
          <w:sz w:val="22"/>
          <w:szCs w:val="22"/>
        </w:rPr>
        <w:t xml:space="preserve">DDG values are gated by AlphaFold pLDDT confidence to prevent FoldX artifacts in low-confidence regions from influencing variant classification:</w:t>
      </w:r>
    </w:p>
    <w:p>
      <w:pPr>
        <w:spacing w:after="120" w:before="0" w:line="276"/>
      </w:pPr>
      <w:r>
        <w:rPr>
          <w:rFonts w:ascii="Arial" w:cs="Arial" w:eastAsia="Arial" w:hAnsi="Arial"/>
          <w:b/>
          <w:bCs/>
          <w:sz w:val="22"/>
          <w:szCs w:val="22"/>
        </w:rPr>
        <w:t xml:space="preserve">Monomer DDG: </w:t>
      </w:r>
      <w:r>
        <w:rPr>
          <w:rFonts w:ascii="Arial" w:cs="Arial" w:eastAsia="Arial" w:hAnsi="Arial"/>
          <w:sz w:val="22"/>
          <w:szCs w:val="22"/>
        </w:rPr>
        <w:t xml:space="preserve">Gated by monomer_plddt (the pLDDT at the variant position in the monomer structure, not the best pLDDT across all structures). A monomer DDG is considered confident if monomer_plddt ≥ 50. This distinction was introduced in Addendum A3: earlier versions incorrectly used best_plddt, which could include high-confidence multimer pLDDT at the same position, masking genuinely disordered monomer regions.</w:t>
      </w:r>
    </w:p>
    <w:p>
      <w:pPr>
        <w:spacing w:after="120" w:before="0" w:line="276"/>
      </w:pPr>
      <w:r>
        <w:rPr>
          <w:rFonts w:ascii="Arial" w:cs="Arial" w:eastAsia="Arial" w:hAnsi="Arial"/>
          <w:b/>
          <w:bCs/>
          <w:sz w:val="22"/>
          <w:szCs w:val="22"/>
        </w:rPr>
        <w:t xml:space="preserve">Per-partner DDG: </w:t>
      </w:r>
      <w:r>
        <w:rPr>
          <w:rFonts w:ascii="Arial" w:cs="Arial" w:eastAsia="Arial" w:hAnsi="Arial"/>
          <w:sz w:val="22"/>
          <w:szCs w:val="22"/>
        </w:rPr>
        <w:t xml:space="preserve">Gated by the per-partner multimer pLDDT (multi_{partner}_plddt ≥ 50). Each partner’s DDG values are independently gated.</w:t>
      </w:r>
    </w:p>
    <w:p>
      <w:pPr>
        <w:spacing w:after="120" w:before="0" w:line="276"/>
      </w:pPr>
      <w:r>
        <w:rPr>
          <w:rFonts w:ascii="Arial" w:cs="Arial" w:eastAsia="Arial" w:hAnsi="Arial"/>
          <w:sz w:val="22"/>
          <w:szCs w:val="22"/>
        </w:rPr>
        <w:t xml:space="preserve">DDG categories are appended with “_unreliable” when the gating pLDDT is below 50. Unreliable DDG values are excluded from concordance voting and mechanism classification but are retained in the output for manual review.</w:t>
      </w:r>
    </w:p>
    <w:p>
      <w:pPr>
        <w:pStyle w:val="Heading2"/>
        <w:spacing w:after="160" w:before="280"/>
      </w:pPr>
      <w:r>
        <w:rPr>
          <w:rFonts w:ascii="Arial" w:cs="Arial" w:eastAsia="Arial" w:hAnsi="Arial"/>
          <w:b/>
          <w:bCs/>
          <w:color w:val="1F4E79"/>
          <w:sz w:val="24"/>
          <w:szCs w:val="24"/>
        </w:rPr>
        <w:t xml:space="preserve">4.5 Variant-Level DDG Summary</w:t>
      </w:r>
    </w:p>
    <w:p>
      <w:pPr>
        <w:spacing w:after="120" w:before="0" w:line="276"/>
      </w:pPr>
      <w:r>
        <w:rPr>
          <w:rFonts w:ascii="Arial" w:cs="Arial" w:eastAsia="Arial" w:hAnsi="Arial"/>
          <w:sz w:val="22"/>
          <w:szCs w:val="22"/>
        </w:rPr>
        <w:t xml:space="preserve">Each variant receives a composite DDG summary synthesizing all three axes across all partners:</w:t>
      </w:r>
    </w:p>
    <w:p>
      <w:pPr>
        <w:spacing w:after="120" w:before="0" w:line="276"/>
      </w:pPr>
      <w:r>
        <w:rPr>
          <w:rFonts w:ascii="Arial" w:cs="Arial" w:eastAsia="Arial" w:hAnsi="Arial"/>
          <w:b/>
          <w:bCs/>
          <w:sz w:val="22"/>
          <w:szCs w:val="22"/>
        </w:rPr>
        <w:t xml:space="preserve">ddg_summary_flags: </w:t>
      </w:r>
      <w:r>
        <w:rPr>
          <w:rFonts w:ascii="Arial" w:cs="Arial" w:eastAsia="Arial" w:hAnsi="Arial"/>
          <w:sz w:val="22"/>
          <w:szCs w:val="22"/>
        </w:rPr>
        <w:t xml:space="preserve">Semicolon-delimited flags including the monomer fold status (fold_disrupted, fold_stabilized, fold_neutral, fold_unknown), and cross-partner signals (has_interaction_disrupted, has_interaction_strengthened, mixed_interaction_effects, fold_context_rescued, fold_context_worsened).</w:t>
      </w:r>
    </w:p>
    <w:p>
      <w:pPr>
        <w:spacing w:after="120" w:before="0" w:line="276"/>
      </w:pPr>
      <w:r>
        <w:rPr>
          <w:rFonts w:ascii="Arial" w:cs="Arial" w:eastAsia="Arial" w:hAnsi="Arial"/>
          <w:b/>
          <w:bCs/>
          <w:sz w:val="22"/>
          <w:szCs w:val="22"/>
        </w:rPr>
        <w:t xml:space="preserve">ddg_low_confidence_flag: </w:t>
      </w:r>
      <w:r>
        <w:rPr>
          <w:rFonts w:ascii="Arial" w:cs="Arial" w:eastAsia="Arial" w:hAnsi="Arial"/>
          <w:sz w:val="22"/>
          <w:szCs w:val="22"/>
        </w:rPr>
        <w:t xml:space="preserve">Flags per-partner DDG values that are highly destabilizing (| DDG | &gt; 2.0) but fall below the pLDDT confidence threshold. These warrant manual structural review.</w:t>
      </w:r>
    </w:p>
    <w:p>
      <w:pPr>
        <w:pStyle w:val="Heading1"/>
        <w:spacing w:after="200" w:before="360"/>
      </w:pPr>
      <w:r>
        <w:rPr>
          <w:rFonts w:ascii="Arial" w:cs="Arial" w:eastAsia="Arial" w:hAnsi="Arial"/>
          <w:b/>
          <w:bCs/>
          <w:color w:val="1F4E79"/>
          <w:sz w:val="28"/>
          <w:szCs w:val="28"/>
        </w:rPr>
        <w:t xml:space="preserve">5. Scoring and Tier Assignment</w:t>
      </w:r>
    </w:p>
    <w:p>
      <w:pPr>
        <w:pStyle w:val="Heading2"/>
        <w:spacing w:after="160" w:before="280"/>
      </w:pPr>
      <w:r>
        <w:rPr>
          <w:rFonts w:ascii="Arial" w:cs="Arial" w:eastAsia="Arial" w:hAnsi="Arial"/>
          <w:b/>
          <w:bCs/>
          <w:color w:val="1F4E79"/>
          <w:sz w:val="24"/>
          <w:szCs w:val="24"/>
        </w:rPr>
        <w:t xml:space="preserve">5.1 Pipeline 1: Single-Residue Scoring (Cell 9)</w:t>
      </w:r>
    </w:p>
    <w:p>
      <w:pPr>
        <w:spacing w:after="120" w:before="0" w:line="276"/>
      </w:pPr>
      <w:r>
        <w:rPr>
          <w:rFonts w:ascii="Arial" w:cs="Arial" w:eastAsia="Arial" w:hAnsi="Arial"/>
          <w:sz w:val="22"/>
          <w:szCs w:val="22"/>
        </w:rPr>
        <w:t xml:space="preserve">Each variant receives a composite disruption score computed from four additive components:</w:t>
      </w:r>
    </w:p>
    <w:p>
      <w:pPr>
        <w:pStyle w:val="Heading3"/>
        <w:spacing w:after="120" w:before="200"/>
      </w:pPr>
      <w:r>
        <w:rPr>
          <w:rFonts w:ascii="Arial" w:cs="Arial" w:eastAsia="Arial" w:hAnsi="Arial"/>
          <w:b/>
          <w:bCs/>
          <w:color w:val="333333"/>
          <w:sz w:val="22"/>
          <w:szCs w:val="22"/>
        </w:rPr>
        <w:t xml:space="preserve">5.1.1 Contact Disruption (0–4 points)</w:t>
      </w:r>
    </w:p>
    <w:p>
      <w:pPr>
        <w:spacing w:after="120" w:before="0" w:line="276"/>
      </w:pPr>
      <w:r>
        <w:rPr>
          <w:rFonts w:ascii="Arial" w:cs="Arial" w:eastAsia="Arial" w:hAnsi="Arial"/>
          <w:sz w:val="22"/>
          <w:szCs w:val="22"/>
        </w:rPr>
        <w:t xml:space="preserve">The disruption metric is: substitution_severity × (monomer_contacts + max_inter_contacts). Substitution severity is the normalized Grantham distance (Grantham / 53.75, capped at 4.0). Monomer contacts are the intra-chain contact count at the variant position. Max inter-contacts is the highest inter-chain contact count across all pLDDT-gated (≥50) partner complexes. Points are awarded based on thresholds: ≥20 = 4 points, ≥10 = 3 points, ≥4 = 2 points, ≥1 = 1 point.</w:t>
      </w:r>
    </w:p>
    <w:p>
      <w:pPr>
        <w:pStyle w:val="Heading3"/>
        <w:spacing w:after="120" w:before="200"/>
      </w:pPr>
      <w:r>
        <w:rPr>
          <w:rFonts w:ascii="Arial" w:cs="Arial" w:eastAsia="Arial" w:hAnsi="Arial"/>
          <w:b/>
          <w:bCs/>
          <w:color w:val="333333"/>
          <w:sz w:val="22"/>
          <w:szCs w:val="22"/>
        </w:rPr>
        <w:t xml:space="preserve">5.1.2 Interface Bonus (0–2 points)</w:t>
      </w:r>
    </w:p>
    <w:p>
      <w:pPr>
        <w:spacing w:after="120" w:before="0" w:line="276"/>
      </w:pPr>
      <w:r>
        <w:rPr>
          <w:rFonts w:ascii="Arial" w:cs="Arial" w:eastAsia="Arial" w:hAnsi="Arial"/>
          <w:sz w:val="22"/>
          <w:szCs w:val="22"/>
        </w:rPr>
        <w:t xml:space="preserve">Variants at protein–protein interfaces receive a bonus. Interface status is gated by per-partner pLDDT ≥ 50: only partners with confident structural predictions contribute. A variant at ≥2 confident interfaces receives 2.0 points; at exactly 1 interface, 1.5 points.</w:t>
      </w:r>
    </w:p>
    <w:p>
      <w:pPr>
        <w:pStyle w:val="Heading3"/>
        <w:spacing w:after="120" w:before="200"/>
      </w:pPr>
      <w:r>
        <w:rPr>
          <w:rFonts w:ascii="Arial" w:cs="Arial" w:eastAsia="Arial" w:hAnsi="Arial"/>
          <w:b/>
          <w:bCs/>
          <w:color w:val="333333"/>
          <w:sz w:val="22"/>
          <w:szCs w:val="22"/>
        </w:rPr>
        <w:t xml:space="preserve">5.1.3 Burial Bonus (0–2 points)</w:t>
      </w:r>
    </w:p>
    <w:p>
      <w:pPr>
        <w:spacing w:after="120" w:before="0" w:line="276"/>
      </w:pPr>
      <w:r>
        <w:rPr>
          <w:rFonts w:ascii="Arial" w:cs="Arial" w:eastAsia="Arial" w:hAnsi="Arial"/>
          <w:sz w:val="22"/>
          <w:szCs w:val="22"/>
        </w:rPr>
        <w:t xml:space="preserve">The best burial classification across the monomer and all confident (≥50 pLDDT) multimer contexts is used. Buried core residues (relative accessibility &lt; 0.05) receive 2.0 points; partially buried (0.05–0.25) receive 1.0 point.</w:t>
      </w:r>
    </w:p>
    <w:p>
      <w:pPr>
        <w:pStyle w:val="Heading3"/>
        <w:spacing w:after="120" w:before="200"/>
      </w:pPr>
      <w:r>
        <w:rPr>
          <w:rFonts w:ascii="Arial" w:cs="Arial" w:eastAsia="Arial" w:hAnsi="Arial"/>
          <w:b/>
          <w:bCs/>
          <w:color w:val="333333"/>
          <w:sz w:val="22"/>
          <w:szCs w:val="22"/>
        </w:rPr>
        <w:t xml:space="preserve">5.1.4 pLDDT Multiplier</w:t>
      </w:r>
    </w:p>
    <w:p>
      <w:pPr>
        <w:spacing w:after="120" w:before="0" w:line="276"/>
      </w:pPr>
      <w:r>
        <w:rPr>
          <w:rFonts w:ascii="Arial" w:cs="Arial" w:eastAsia="Arial" w:hAnsi="Arial"/>
          <w:sz w:val="22"/>
          <w:szCs w:val="22"/>
        </w:rPr>
        <w:t xml:space="preserve">The final score is multiplied by a confidence factor based on best_plddt (the maximum pLDDT across monomer and all multimer structures for that variant): ×0.4 if best_plddt &lt; 50, ×0.7 if 50 ≤ best_plddt &lt; 70, ×1.0 if best_plddt ≥ 70.</w:t>
      </w:r>
    </w:p>
    <w:p>
      <w:pPr>
        <w:pStyle w:val="Heading2"/>
        <w:spacing w:after="160" w:before="280"/>
      </w:pPr>
      <w:r>
        <w:rPr>
          <w:rFonts w:ascii="Arial" w:cs="Arial" w:eastAsia="Arial" w:hAnsi="Arial"/>
          <w:b/>
          <w:bCs/>
          <w:color w:val="1F4E79"/>
          <w:sz w:val="24"/>
          <w:szCs w:val="24"/>
        </w:rPr>
        <w:t xml:space="preserve">5.2 Tier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Score Range</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Tier</w:t>
            </w:r>
          </w:p>
        </w:tc>
        <w:tc>
          <w:tcPr>
            <w:tcW w:type="dxa" w:w="4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Interpretation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 5.0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Tier 1</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High-confidence structural impact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3.0 – 4.99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Tier 2</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Moderate structural impact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1.5 – 2.99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Tier 3</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Low structural impact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&lt; 1.5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Tier 4</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Minimal structural evidence</w:t>
            </w:r>
          </w:p>
        </w:tc>
      </w:tr>
    </w:tbl>
    <w:p>
      <w:pPr>
        <w:pStyle w:val="Heading2"/>
        <w:spacing w:after="160" w:before="280"/>
      </w:pPr>
      <w:r>
        <w:rPr>
          <w:rFonts w:ascii="Arial" w:cs="Arial" w:eastAsia="Arial" w:hAnsi="Arial"/>
          <w:b/>
          <w:bCs/>
          <w:color w:val="1F4E79"/>
          <w:sz w:val="24"/>
          <w:szCs w:val="24"/>
        </w:rPr>
        <w:t xml:space="preserve">5.3 Pipeline 2: Neighborhood ±3 Scoring (Cell 10)</w:t>
      </w:r>
    </w:p>
    <w:p>
      <w:pPr>
        <w:spacing w:after="120" w:before="0" w:line="276"/>
      </w:pPr>
      <w:r>
        <w:rPr>
          <w:rFonts w:ascii="Arial" w:cs="Arial" w:eastAsia="Arial" w:hAnsi="Arial"/>
          <w:sz w:val="22"/>
          <w:szCs w:val="22"/>
        </w:rPr>
        <w:t xml:space="preserve">Pipeline 2 mirrors Pipeline 1 but substitutes the neighborhood ±3 weighted contact score for the single-residue contact count. The neighborhood disruption metric is: substitution_severity × (nbhd_mono_contacts_weighted + max_nbhd_inter_weighted). This provides robustness against single-position contact artifacts — if a variant’s contacts are anomalously low but its neighbors are contact-rich, the neighborhood pipeline captures the structural context. The same interface bonus, burial bonus, pLDDT multiplier, and tier thresholds apply.</w:t>
      </w:r>
    </w:p>
    <w:p>
      <w:pPr>
        <w:pStyle w:val="Heading1"/>
        <w:spacing w:after="200" w:before="360"/>
      </w:pPr>
      <w:r>
        <w:rPr>
          <w:rFonts w:ascii="Arial" w:cs="Arial" w:eastAsia="Arial" w:hAnsi="Arial"/>
          <w:b/>
          <w:bCs/>
          <w:color w:val="1F4E79"/>
          <w:sz w:val="28"/>
          <w:szCs w:val="28"/>
        </w:rPr>
        <w:t xml:space="preserve">6. Mechanism Classification</w:t>
      </w:r>
    </w:p>
    <w:p>
      <w:pPr>
        <w:spacing w:after="120" w:before="0" w:line="276"/>
      </w:pPr>
      <w:r>
        <w:rPr>
          <w:rFonts w:ascii="Arial" w:cs="Arial" w:eastAsia="Arial" w:hAnsi="Arial"/>
          <w:sz w:val="22"/>
          <w:szCs w:val="22"/>
        </w:rPr>
        <w:t xml:space="preserve">Each variant is assigned a pathogenic mechanism category based on the interaction of fold stability (DDG Axes 1 and 2), PPI energy (DDG Axis 3), structural tier, interface status, contact density, and burial. The 16-category framework is organized into four groups based on fold DDG status:</w:t>
      </w:r>
    </w:p>
    <w:p>
      <w:pPr>
        <w:spacing w:after="120" w:before="0" w:line="276"/>
      </w:pPr>
      <w:r>
        <w:rPr>
          <w:rFonts w:ascii="Arial" w:cs="Arial" w:eastAsia="Arial" w:hAnsi="Arial"/>
          <w:b/>
          <w:bCs/>
          <w:sz w:val="22"/>
          <w:szCs w:val="22"/>
        </w:rPr>
        <w:t xml:space="preserve">Fold disruption is determined by a union rule: </w:t>
      </w:r>
      <w:r>
        <w:rPr>
          <w:rFonts w:ascii="Arial" w:cs="Arial" w:eastAsia="Arial" w:hAnsi="Arial"/>
          <w:sz w:val="22"/>
          <w:szCs w:val="22"/>
        </w:rPr>
        <w:t xml:space="preserve">fold is considered disrupted if EITHER the monomer DDG (Axis 1, gated by monomer_plddt ≥ 50) exceeds +1.0 kcal/mol, OR any confident per-partner fold DDG (Axis 2, gated by partner pLDDT ≥ 50) exceeds +1.0 kcal/mol.</w:t>
      </w:r>
    </w:p>
    <w:p>
      <w:pPr>
        <w:spacing w:after="120" w:before="0" w:line="276"/>
      </w:pPr>
      <w:r>
        <w:rPr>
          <w:rFonts w:ascii="Arial" w:cs="Arial" w:eastAsia="Arial" w:hAnsi="Arial"/>
          <w:b/>
          <w:bCs/>
          <w:sz w:val="22"/>
          <w:szCs w:val="22"/>
        </w:rPr>
        <w:t xml:space="preserve">PPI disruption uses per-partner binding DDG (Axis 3): </w:t>
      </w:r>
      <w:r>
        <w:rPr>
          <w:rFonts w:ascii="Arial" w:cs="Arial" w:eastAsia="Arial" w:hAnsi="Arial"/>
          <w:sz w:val="22"/>
          <w:szCs w:val="22"/>
        </w:rPr>
        <w:t xml:space="preserve">confident (pLDDT ≥ 50) ddg_binding values exceeding +1.0 kcal/mol trigger PPI destabilization; values below −1.0 kcal/mol trigger PPI stabilization. For variants without per-partner DDG data, aggregate multimer DDG values serve as fallback.</w:t>
      </w:r>
    </w:p>
    <w:p>
      <w:pPr>
        <w:pStyle w:val="Heading3"/>
        <w:spacing w:after="120" w:before="200"/>
      </w:pPr>
      <w:r>
        <w:rPr>
          <w:rFonts w:ascii="Arial" w:cs="Arial" w:eastAsia="Arial" w:hAnsi="Arial"/>
          <w:b/>
          <w:bCs/>
          <w:color w:val="333333"/>
          <w:sz w:val="22"/>
          <w:szCs w:val="22"/>
        </w:rPr>
        <w:t xml:space="preserve">Fold Destabilized Group (fold DDG &gt;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9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Mechanism Category</w:t>
            </w:r>
          </w:p>
        </w:tc>
        <w:tc>
          <w:tcPr>
            <w:tcW w:type="dxa" w:w="4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Criteria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Fold + PPI destabilization</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Fold disrupted AND PPI disrupted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Fold destab. at interface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Fold disrupted, at interface, PPI neutral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Fold destabilization</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Fold disrupted, not at interface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4</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PPI destabilization</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Fold neutral, PPI disrupted (from per-partner DDG)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5</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Fold destab. + PPI stabilization (conflicting)</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Fold disrupted AND PPI stabilized</w:t>
            </w:r>
          </w:p>
        </w:tc>
      </w:tr>
    </w:tbl>
    <w:p>
      <w:pPr>
        <w:pStyle w:val="Heading3"/>
        <w:spacing w:after="120" w:before="200"/>
      </w:pPr>
      <w:r>
        <w:rPr>
          <w:rFonts w:ascii="Arial" w:cs="Arial" w:eastAsia="Arial" w:hAnsi="Arial"/>
          <w:b/>
          <w:bCs/>
          <w:color w:val="333333"/>
          <w:sz w:val="22"/>
          <w:szCs w:val="22"/>
        </w:rPr>
        <w:t xml:space="preserve">Fold Stabilized Group (fold DDG &lt;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Mechanism Category</w:t>
            </w:r>
          </w:p>
        </w:tc>
        <w:tc>
          <w:tcPr>
            <w:tcW w:type="dxa" w:w="4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Criteria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6</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Stabilizing + PPI (potential GoF)</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Fold stabilized AND PPI stabilized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7</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Stabilizing at interface (potential GoF)</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Fold stabilized, at interface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8</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Stabilizing (potential GoF)</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Fold stabilized, no interface context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9</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Stabilizing + PPI destabilization (conflicting)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Fold stabilized AND PPI disrupted</w:t>
            </w:r>
          </w:p>
        </w:tc>
      </w:tr>
    </w:tbl>
    <w:p>
      <w:pPr>
        <w:pStyle w:val="Heading3"/>
        <w:spacing w:after="120" w:before="200"/>
      </w:pPr>
      <w:r>
        <w:rPr>
          <w:rFonts w:ascii="Arial" w:cs="Arial" w:eastAsia="Arial" w:hAnsi="Arial"/>
          <w:b/>
          <w:bCs/>
          <w:color w:val="333333"/>
          <w:sz w:val="22"/>
          <w:szCs w:val="22"/>
        </w:rPr>
        <w:t xml:space="preserve">Fold Neutral Group (|fold DDG|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Mechanism Category</w:t>
            </w:r>
          </w:p>
        </w:tc>
        <w:tc>
          <w:tcPr>
            <w:tcW w:type="dxa" w:w="4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Criteria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10</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PPI stabilization (potential GoF)</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PPI stabilized, fold neutral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11</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Interface variant (DDG neutral)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At interface, all DDG neutral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12</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Structural variant – contact-driven (DDG neutral)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Tier 1/2, contacts ≥ 6, DDG neutral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13</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PPI conflicting (mixed partner signals)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PPI destab. in some partners, stabilized in others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14</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Structural variant – burial-driven (DDG neutral)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Tier 1/2, contacts &lt; 6, DDG neutral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15</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Benign (structurally evaluated)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Structure evaluable, no evidence of pathogenicity</w:t>
            </w:r>
          </w:p>
        </w:tc>
      </w:tr>
    </w:tbl>
    <w:p>
      <w:pPr>
        <w:pStyle w:val="Heading3"/>
        <w:spacing w:after="120" w:before="200"/>
      </w:pPr>
      <w:r>
        <w:rPr>
          <w:rFonts w:ascii="Arial" w:cs="Arial" w:eastAsia="Arial" w:hAnsi="Arial"/>
          <w:b/>
          <w:bCs/>
          <w:color w:val="333333"/>
          <w:sz w:val="22"/>
          <w:szCs w:val="22"/>
        </w:rPr>
        <w:t xml:space="preserve">Unevaluable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Mechanism Category</w:t>
            </w:r>
          </w:p>
        </w:tc>
        <w:tc>
          <w:tcPr>
            <w:tcW w:type="dxa" w:w="4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Criteria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16</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Structure unevaluable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best_plddt &lt; 50 (no confident structural data)</w:t>
            </w:r>
          </w:p>
        </w:tc>
      </w:tr>
    </w:tbl>
    <w:p>
      <w:pPr>
        <w:spacing w:after="120" w:before="0" w:line="276"/>
      </w:pPr>
      <w:r>
        <w:rPr>
          <w:rFonts w:ascii="Arial" w:cs="Arial" w:eastAsia="Arial" w:hAnsi="Arial"/>
          <w:sz w:val="22"/>
          <w:szCs w:val="22"/>
        </w:rPr>
        <w:t xml:space="preserve">Each mechanism assignment also records the associated partner (v6_mechanism_partner) and an external evidence flag (v6_external_evidence_flag) for unevaluable variants where AlphaMissense or Franklin independently suggest pathogenicity.</w:t>
      </w:r>
    </w:p>
    <w:p>
      <w:pPr>
        <w:pStyle w:val="Heading1"/>
        <w:spacing w:after="200" w:before="360"/>
      </w:pPr>
      <w:r>
        <w:rPr>
          <w:rFonts w:ascii="Arial" w:cs="Arial" w:eastAsia="Arial" w:hAnsi="Arial"/>
          <w:b/>
          <w:bCs/>
          <w:color w:val="1F4E79"/>
          <w:sz w:val="28"/>
          <w:szCs w:val="28"/>
        </w:rPr>
        <w:t xml:space="preserve">7. Four-Way Concordance</w:t>
      </w:r>
    </w:p>
    <w:p>
      <w:pPr>
        <w:spacing w:after="120" w:before="0" w:line="276"/>
      </w:pPr>
      <w:r>
        <w:rPr>
          <w:rFonts w:ascii="Arial" w:cs="Arial" w:eastAsia="Arial" w:hAnsi="Arial"/>
          <w:sz w:val="22"/>
          <w:szCs w:val="22"/>
        </w:rPr>
        <w:t xml:space="preserve">Variant pathogenicity support is assessed across four independent evidence axes: structural tier, FoldX DDG, AlphaMissense, and Franklin/ClinVar. The concordance score is X/N, where N is the number of evaluable axes for that variant (adjusted denominator), and X is the number of axes supporting pathogenicity.</w:t>
      </w:r>
    </w:p>
    <w:p>
      <w:pPr>
        <w:pStyle w:val="Heading2"/>
        <w:spacing w:after="160" w:before="280"/>
      </w:pPr>
      <w:r>
        <w:rPr>
          <w:rFonts w:ascii="Arial" w:cs="Arial" w:eastAsia="Arial" w:hAnsi="Arial"/>
          <w:b/>
          <w:bCs/>
          <w:color w:val="1F4E79"/>
          <w:sz w:val="24"/>
          <w:szCs w:val="24"/>
        </w:rPr>
        <w:t xml:space="preserve">7.1 Per-Axis Voting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Axis</w:t>
            </w:r>
          </w:p>
        </w:tc>
        <w:tc>
          <w:tcPr>
            <w:tcW w:type="dxa" w:w="36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Strict Vote (“pathogenic”)</w:t>
            </w:r>
          </w:p>
        </w:tc>
        <w:tc>
          <w:tcPr>
            <w:tcW w:type="dxa" w:w="36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Relaxed Vote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Structural tier</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Tier 1 or 2</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Tier 1 or 2</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FoldX DDG</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High confidence (pLDDT ≥ 70) AND |DDG| ≥ 2.0</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Moderate+ confidence AND |DDG| ≥ 1.0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AlphaMissense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likely_pathogenic (≥ 0.564)</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likely_pathogenic OR ambiguous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Franklin/ClinVar</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Pathogenic, Likely Pathogenic, or VUS (high)</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...or VUS (mid)</w:t>
            </w:r>
          </w:p>
        </w:tc>
      </w:tr>
    </w:tbl>
    <w:p>
      <w:pPr>
        <w:pStyle w:val="Heading2"/>
        <w:spacing w:after="160" w:before="280"/>
      </w:pPr>
      <w:r>
        <w:rPr>
          <w:rFonts w:ascii="Arial" w:cs="Arial" w:eastAsia="Arial" w:hAnsi="Arial"/>
          <w:b/>
          <w:bCs/>
          <w:color w:val="1F4E79"/>
          <w:sz w:val="24"/>
          <w:szCs w:val="24"/>
        </w:rPr>
        <w:t xml:space="preserve">7.2 Evaluability Flags</w:t>
      </w:r>
    </w:p>
    <w:p>
      <w:pPr>
        <w:spacing w:after="120" w:before="0" w:line="276"/>
      </w:pPr>
      <w:r>
        <w:rPr>
          <w:rFonts w:ascii="Arial" w:cs="Arial" w:eastAsia="Arial" w:hAnsi="Arial"/>
          <w:sz w:val="22"/>
          <w:szCs w:val="22"/>
        </w:rPr>
        <w:t xml:space="preserve">Each axis has an evaluability flag that determines whether it contributes to the denominator:</w:t>
      </w:r>
    </w:p>
    <w:p>
      <w:pPr>
        <w:spacing w:after="120" w:before="0" w:line="276"/>
      </w:pPr>
      <w:r>
        <w:rPr>
          <w:rFonts w:ascii="Arial" w:cs="Arial" w:eastAsia="Arial" w:hAnsi="Arial"/>
          <w:b/>
          <w:bCs/>
          <w:sz w:val="22"/>
          <w:szCs w:val="22"/>
        </w:rPr>
        <w:t xml:space="preserve">structure_evaluable: </w:t>
      </w:r>
      <w:r>
        <w:rPr>
          <w:rFonts w:ascii="Arial" w:cs="Arial" w:eastAsia="Arial" w:hAnsi="Arial"/>
          <w:sz w:val="22"/>
          <w:szCs w:val="22"/>
        </w:rPr>
        <w:t xml:space="preserve">best_plddt ≥ 50. </w:t>
      </w:r>
      <w:r>
        <w:rPr>
          <w:rFonts w:ascii="Arial" w:cs="Arial" w:eastAsia="Arial" w:hAnsi="Arial"/>
          <w:b/>
          <w:bCs/>
          <w:sz w:val="22"/>
          <w:szCs w:val="22"/>
        </w:rPr>
        <w:t xml:space="preserve">ddg_evaluable: </w:t>
      </w:r>
      <w:r>
        <w:rPr>
          <w:rFonts w:ascii="Arial" w:cs="Arial" w:eastAsia="Arial" w:hAnsi="Arial"/>
          <w:sz w:val="22"/>
          <w:szCs w:val="22"/>
        </w:rPr>
        <w:t xml:space="preserve">ddg_confidence is not ‘low’ (monomer_plddt ≥ 50). </w:t>
      </w:r>
      <w:r>
        <w:rPr>
          <w:rFonts w:ascii="Arial" w:cs="Arial" w:eastAsia="Arial" w:hAnsi="Arial"/>
          <w:b/>
          <w:bCs/>
          <w:sz w:val="22"/>
          <w:szCs w:val="22"/>
        </w:rPr>
        <w:t xml:space="preserve">am_evaluable: </w:t>
      </w:r>
      <w:r>
        <w:rPr>
          <w:rFonts w:ascii="Arial" w:cs="Arial" w:eastAsia="Arial" w:hAnsi="Arial"/>
          <w:sz w:val="22"/>
          <w:szCs w:val="22"/>
        </w:rPr>
        <w:t xml:space="preserve">AlphaMissense score is non-null. </w:t>
      </w:r>
      <w:r>
        <w:rPr>
          <w:rFonts w:ascii="Arial" w:cs="Arial" w:eastAsia="Arial" w:hAnsi="Arial"/>
          <w:b/>
          <w:bCs/>
          <w:sz w:val="22"/>
          <w:szCs w:val="22"/>
        </w:rPr>
        <w:t xml:space="preserve">franklin_evaluable: </w:t>
      </w:r>
      <w:r>
        <w:rPr>
          <w:rFonts w:ascii="Arial" w:cs="Arial" w:eastAsia="Arial" w:hAnsi="Arial"/>
          <w:sz w:val="22"/>
          <w:szCs w:val="22"/>
        </w:rPr>
        <w:t xml:space="preserve">Franklin annotation is non-null.</w:t>
      </w:r>
    </w:p>
    <w:p>
      <w:pPr>
        <w:pStyle w:val="Heading2"/>
        <w:spacing w:after="160" w:before="280"/>
      </w:pPr>
      <w:r>
        <w:rPr>
          <w:rFonts w:ascii="Arial" w:cs="Arial" w:eastAsia="Arial" w:hAnsi="Arial"/>
          <w:b/>
          <w:bCs/>
          <w:color w:val="1F4E79"/>
          <w:sz w:val="24"/>
          <w:szCs w:val="24"/>
        </w:rPr>
        <w:t xml:space="preserve">7.3 max_abs_ddg</w:t>
      </w:r>
    </w:p>
    <w:p>
      <w:pPr>
        <w:spacing w:after="120" w:before="0" w:line="276"/>
      </w:pPr>
      <w:r>
        <w:rPr>
          <w:rFonts w:ascii="Arial" w:cs="Arial" w:eastAsia="Arial" w:hAnsi="Arial"/>
          <w:sz w:val="22"/>
          <w:szCs w:val="22"/>
        </w:rPr>
        <w:t xml:space="preserve">The max_abs_ddg used for concordance voting is the maximum absolute DDG value across all three axes and all confident partners. Specifically: |ddg_monomer| (if monomer_plddt ≥ 50), |ddg_fold_{partner}| (if partner confident), and |ddg_binding_{partner}| (if partner confident). For variants without per-partner data, aggregate columns (ddg_multimer_max, ddg_multimer_min) are used as fallback.</w:t>
      </w:r>
    </w:p>
    <w:p>
      <w:pPr>
        <w:pStyle w:val="Heading2"/>
        <w:spacing w:after="160" w:before="280"/>
      </w:pPr>
      <w:r>
        <w:rPr>
          <w:rFonts w:ascii="Arial" w:cs="Arial" w:eastAsia="Arial" w:hAnsi="Arial"/>
          <w:b/>
          <w:bCs/>
          <w:color w:val="1F4E79"/>
          <w:sz w:val="24"/>
          <w:szCs w:val="24"/>
        </w:rPr>
        <w:t xml:space="preserve">7.4 Three Concordance Flavors</w:t>
      </w:r>
    </w:p>
    <w:p>
      <w:pPr>
        <w:spacing w:after="120" w:before="0" w:line="276"/>
      </w:pPr>
      <w:r>
        <w:rPr>
          <w:rFonts w:ascii="Arial" w:cs="Arial" w:eastAsia="Arial" w:hAnsi="Arial"/>
          <w:b/>
          <w:bCs/>
          <w:sz w:val="22"/>
          <w:szCs w:val="22"/>
        </w:rPr>
        <w:t xml:space="preserve">Strict: </w:t>
      </w:r>
      <w:r>
        <w:rPr>
          <w:rFonts w:ascii="Arial" w:cs="Arial" w:eastAsia="Arial" w:hAnsi="Arial"/>
          <w:sz w:val="22"/>
          <w:szCs w:val="22"/>
        </w:rPr>
        <w:t xml:space="preserve">Uses strict voting thresholds. </w:t>
      </w:r>
      <w:r>
        <w:rPr>
          <w:rFonts w:ascii="Arial" w:cs="Arial" w:eastAsia="Arial" w:hAnsi="Arial"/>
          <w:b/>
          <w:bCs/>
          <w:sz w:val="22"/>
          <w:szCs w:val="22"/>
        </w:rPr>
        <w:t xml:space="preserve">Relaxed: </w:t>
      </w:r>
      <w:r>
        <w:rPr>
          <w:rFonts w:ascii="Arial" w:cs="Arial" w:eastAsia="Arial" w:hAnsi="Arial"/>
          <w:sz w:val="22"/>
          <w:szCs w:val="22"/>
        </w:rPr>
        <w:t xml:space="preserve">Uses relaxed voting thresholds. </w:t>
      </w:r>
      <w:r>
        <w:rPr>
          <w:rFonts w:ascii="Arial" w:cs="Arial" w:eastAsia="Arial" w:hAnsi="Arial"/>
          <w:b/>
          <w:bCs/>
          <w:sz w:val="22"/>
          <w:szCs w:val="22"/>
        </w:rPr>
        <w:t xml:space="preserve">T3-inclusive: </w:t>
      </w:r>
      <w:r>
        <w:rPr>
          <w:rFonts w:ascii="Arial" w:cs="Arial" w:eastAsia="Arial" w:hAnsi="Arial"/>
          <w:sz w:val="22"/>
          <w:szCs w:val="22"/>
        </w:rPr>
        <w:t xml:space="preserve">Same as strict, but the structural tier vote also fires for Tier 3 (extending sensitivity to lower-scoring structural variants).</w:t>
      </w:r>
    </w:p>
    <w:p>
      <w:pPr>
        <w:pStyle w:val="Heading1"/>
        <w:spacing w:after="200" w:before="360"/>
      </w:pPr>
      <w:r>
        <w:rPr>
          <w:rFonts w:ascii="Arial" w:cs="Arial" w:eastAsia="Arial" w:hAnsi="Arial"/>
          <w:b/>
          <w:bCs/>
          <w:color w:val="1F4E79"/>
          <w:sz w:val="28"/>
          <w:szCs w:val="28"/>
        </w:rPr>
        <w:t xml:space="preserve">8. Pipeline Agreement</w:t>
      </w:r>
    </w:p>
    <w:p>
      <w:pPr>
        <w:spacing w:after="120" w:before="0" w:line="276"/>
      </w:pPr>
      <w:r>
        <w:rPr>
          <w:rFonts w:ascii="Arial" w:cs="Arial" w:eastAsia="Arial" w:hAnsi="Arial"/>
          <w:sz w:val="22"/>
          <w:szCs w:val="22"/>
        </w:rPr>
        <w:t xml:space="preserve">Each variant is classified by agreement between Pipeline 1 (single-residue) and Pipeline 2 (neighborhood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Category</w:t>
            </w:r>
          </w:p>
        </w:tc>
        <w:tc>
          <w:tcPr>
            <w:tcW w:type="dxa" w:w="3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Criteria</w:t>
            </w:r>
          </w:p>
        </w:tc>
        <w:tc>
          <w:tcPr>
            <w:tcW w:type="dxa" w:w="3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Interpretation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Concordant high</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Both Pipeline 1 and 2 assign Tier 1 or 2</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High confidence: structural impact confirmed by neighborhood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Concordant low</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Both assign Tier 3 or 4</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Structurally unremarkable in both views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Neighborhood-elevated</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Pipeline 2 = Tier 1/2, Pipeline 1 = Tier 3/4</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Neighborhood context reveals impact missed by single residue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Neighborhood-depressed</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Pipeline 1 = Tier 1/2, Pipeline 2 = Tier 3/4</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Single-residue effect is locally isolated</w:t>
            </w:r>
          </w:p>
        </w:tc>
      </w:tr>
    </w:tbl>
    <w:p>
      <w:pPr>
        <w:spacing w:after="120" w:before="0" w:line="276"/>
      </w:pPr>
      <w:r>
        <w:rPr>
          <w:rFonts w:ascii="Arial" w:cs="Arial" w:eastAsia="Arial" w:hAnsi="Arial"/>
          <w:b/>
          <w:bCs/>
          <w:sz w:val="22"/>
          <w:szCs w:val="22"/>
        </w:rPr>
        <w:t xml:space="preserve">In the current dataset: </w:t>
      </w:r>
      <w:r>
        <w:rPr>
          <w:rFonts w:ascii="Arial" w:cs="Arial" w:eastAsia="Arial" w:hAnsi="Arial"/>
          <w:sz w:val="22"/>
          <w:szCs w:val="22"/>
        </w:rPr>
        <w:t xml:space="preserve">125 variants are concordant low, 24 concordant high, 12 neighborhood-elevated, and 2 neighborhood-depressed.</w:t>
      </w:r>
    </w:p>
    <w:p>
      <w:pPr>
        <w:pStyle w:val="Heading1"/>
        <w:spacing w:after="200" w:before="360"/>
      </w:pPr>
      <w:r>
        <w:rPr>
          <w:rFonts w:ascii="Arial" w:cs="Arial" w:eastAsia="Arial" w:hAnsi="Arial"/>
          <w:b/>
          <w:bCs/>
          <w:color w:val="1F4E79"/>
          <w:sz w:val="28"/>
          <w:szCs w:val="28"/>
        </w:rPr>
        <w:t xml:space="preserve">9. External Annotations</w:t>
      </w:r>
    </w:p>
    <w:p>
      <w:pPr>
        <w:pStyle w:val="Heading2"/>
        <w:spacing w:after="160" w:before="280"/>
      </w:pPr>
      <w:r>
        <w:rPr>
          <w:rFonts w:ascii="Arial" w:cs="Arial" w:eastAsia="Arial" w:hAnsi="Arial"/>
          <w:b/>
          <w:bCs/>
          <w:color w:val="1F4E79"/>
          <w:sz w:val="24"/>
          <w:szCs w:val="24"/>
        </w:rPr>
        <w:t xml:space="preserve">9.1 AlphaMissense</w:t>
      </w:r>
    </w:p>
    <w:p>
      <w:pPr>
        <w:spacing w:after="120" w:before="0" w:line="276"/>
      </w:pPr>
      <w:r>
        <w:rPr>
          <w:rFonts w:ascii="Arial" w:cs="Arial" w:eastAsia="Arial" w:hAnsi="Arial"/>
          <w:sz w:val="22"/>
          <w:szCs w:val="22"/>
        </w:rPr>
        <w:t xml:space="preserve">AlphaMissense scores are classified as: likely_pathogenic (≥ 0.564), ambiguous (0.340–0.564), or likely_benign (&lt; 0.340). Raw scores are preserved in AlphaMissense_raw. All 163 variants have AlphaMissense annotations.</w:t>
      </w:r>
    </w:p>
    <w:p>
      <w:pPr>
        <w:pStyle w:val="Heading2"/>
        <w:spacing w:after="160" w:before="280"/>
      </w:pPr>
      <w:r>
        <w:rPr>
          <w:rFonts w:ascii="Arial" w:cs="Arial" w:eastAsia="Arial" w:hAnsi="Arial"/>
          <w:b/>
          <w:bCs/>
          <w:color w:val="1F4E79"/>
          <w:sz w:val="24"/>
          <w:szCs w:val="24"/>
        </w:rPr>
        <w:t xml:space="preserve">9.2 Franklin / ClinVar</w:t>
      </w:r>
    </w:p>
    <w:p>
      <w:pPr>
        <w:spacing w:after="120" w:before="0" w:line="276"/>
      </w:pPr>
      <w:r>
        <w:rPr>
          <w:rFonts w:ascii="Arial" w:cs="Arial" w:eastAsia="Arial" w:hAnsi="Arial"/>
          <w:sz w:val="22"/>
          <w:szCs w:val="22"/>
        </w:rPr>
        <w:t xml:space="preserve">Franklin aggregates clinical evidence from ClinVar and other databases. Classifications are standardized to: Pathogenic, Likely Pathogenic, VUS (high), VUS (mid), VUS (low), Likely Benign, and Benign. 150 of 163 variants have Franklin annotations.</w:t>
      </w:r>
    </w:p>
    <w:p>
      <w:pPr>
        <w:pStyle w:val="Heading2"/>
        <w:spacing w:after="160" w:before="280"/>
      </w:pPr>
      <w:r>
        <w:rPr>
          <w:rFonts w:ascii="Arial" w:cs="Arial" w:eastAsia="Arial" w:hAnsi="Arial"/>
          <w:b/>
          <w:bCs/>
          <w:color w:val="1F4E79"/>
          <w:sz w:val="24"/>
          <w:szCs w:val="24"/>
        </w:rPr>
        <w:t xml:space="preserve">9.3 gnomAD</w:t>
      </w:r>
    </w:p>
    <w:p>
      <w:pPr>
        <w:spacing w:after="120" w:before="0" w:line="276"/>
      </w:pPr>
      <w:r>
        <w:rPr>
          <w:rFonts w:ascii="Arial" w:cs="Arial" w:eastAsia="Arial" w:hAnsi="Arial"/>
          <w:sz w:val="22"/>
          <w:szCs w:val="22"/>
        </w:rPr>
        <w:t xml:space="preserve">Stub columns are provided for gnomAD population frequency data (gnomad_af, gnomad_popmax_af, gnomad_homozygotes) and gene-level constraint metrics (gene_pli, gene_loeuf). These are populated via external lookup.</w:t>
      </w:r>
    </w:p>
    <w:p>
      <w:pPr>
        <w:pStyle w:val="Heading2"/>
        <w:spacing w:after="160" w:before="280"/>
      </w:pPr>
      <w:r>
        <w:rPr>
          <w:rFonts w:ascii="Arial" w:cs="Arial" w:eastAsia="Arial" w:hAnsi="Arial"/>
          <w:b/>
          <w:bCs/>
          <w:color w:val="1F4E79"/>
          <w:sz w:val="24"/>
          <w:szCs w:val="24"/>
        </w:rPr>
        <w:t xml:space="preserve">9.4 Grantham Distance</w:t>
      </w:r>
    </w:p>
    <w:p>
      <w:pPr>
        <w:spacing w:after="120" w:before="0" w:line="276"/>
      </w:pPr>
      <w:r>
        <w:rPr>
          <w:rFonts w:ascii="Arial" w:cs="Arial" w:eastAsia="Arial" w:hAnsi="Arial"/>
          <w:sz w:val="22"/>
          <w:szCs w:val="22"/>
        </w:rPr>
        <w:t xml:space="preserve">Physicochemical distance between amino acid substitutions is computed from the standard Grantham matrix (Grantham, 1974). Property changes (size, charge, hydrophobicity) are explicitly enumerated.</w:t>
      </w:r>
    </w:p>
    <w:p>
      <w:pPr>
        <w:pStyle w:val="Heading1"/>
        <w:spacing w:after="200" w:before="360"/>
      </w:pPr>
      <w:r>
        <w:rPr>
          <w:rFonts w:ascii="Arial" w:cs="Arial" w:eastAsia="Arial" w:hAnsi="Arial"/>
          <w:b/>
          <w:bCs/>
          <w:color w:val="1F4E79"/>
          <w:sz w:val="28"/>
          <w:szCs w:val="28"/>
        </w:rPr>
        <w:t xml:space="preserve">10. Output Format</w:t>
      </w:r>
    </w:p>
    <w:p>
      <w:pPr>
        <w:pStyle w:val="Heading2"/>
        <w:spacing w:after="160" w:before="280"/>
      </w:pPr>
      <w:r>
        <w:rPr>
          <w:rFonts w:ascii="Arial" w:cs="Arial" w:eastAsia="Arial" w:hAnsi="Arial"/>
          <w:b/>
          <w:bCs/>
          <w:color w:val="1F4E79"/>
          <w:sz w:val="24"/>
          <w:szCs w:val="24"/>
        </w:rPr>
        <w:t xml:space="preserve">10.1 File Outputs</w:t>
      </w:r>
    </w:p>
    <w:p>
      <w:pPr>
        <w:spacing w:after="120" w:before="0" w:line="276"/>
      </w:pPr>
      <w:r>
        <w:rPr>
          <w:rFonts w:ascii="Arial" w:cs="Arial" w:eastAsia="Arial" w:hAnsi="Arial"/>
          <w:b/>
          <w:bCs/>
          <w:sz w:val="22"/>
          <w:szCs w:val="22"/>
        </w:rPr>
        <w:t xml:space="preserve">variant_comprehensive_v6_0.csv: </w:t>
      </w:r>
      <w:r>
        <w:rPr>
          <w:rFonts w:ascii="Arial" w:cs="Arial" w:eastAsia="Arial" w:hAnsi="Arial"/>
          <w:sz w:val="22"/>
          <w:szCs w:val="22"/>
        </w:rPr>
        <w:t xml:space="preserve">All 163 variants × 348 columns. </w:t>
      </w:r>
      <w:r>
        <w:rPr>
          <w:rFonts w:ascii="Arial" w:cs="Arial" w:eastAsia="Arial" w:hAnsi="Arial"/>
          <w:b/>
          <w:bCs/>
          <w:sz w:val="22"/>
          <w:szCs w:val="22"/>
        </w:rPr>
        <w:t xml:space="preserve">high_priority_variants_v6_0.csv: </w:t>
      </w:r>
      <w:r>
        <w:rPr>
          <w:rFonts w:ascii="Arial" w:cs="Arial" w:eastAsia="Arial" w:hAnsi="Arial"/>
          <w:sz w:val="22"/>
          <w:szCs w:val="22"/>
        </w:rPr>
        <w:t xml:space="preserve">Tier 1 and 2 variants only. </w:t>
      </w:r>
      <w:r>
        <w:rPr>
          <w:rFonts w:ascii="Arial" w:cs="Arial" w:eastAsia="Arial" w:hAnsi="Arial"/>
          <w:b/>
          <w:bCs/>
          <w:sz w:val="22"/>
          <w:szCs w:val="22"/>
        </w:rPr>
        <w:t xml:space="preserve">foldx_ddg_expanded_results.csv: </w:t>
      </w:r>
      <w:r>
        <w:rPr>
          <w:rFonts w:ascii="Arial" w:cs="Arial" w:eastAsia="Arial" w:hAnsi="Arial"/>
          <w:sz w:val="22"/>
          <w:szCs w:val="22"/>
        </w:rPr>
        <w:t xml:space="preserve">DDG summary per variant. </w:t>
      </w:r>
      <w:r>
        <w:rPr>
          <w:rFonts w:ascii="Arial" w:cs="Arial" w:eastAsia="Arial" w:hAnsi="Arial"/>
          <w:b/>
          <w:bCs/>
          <w:sz w:val="22"/>
          <w:szCs w:val="22"/>
        </w:rPr>
        <w:t xml:space="preserve">variant_comprehensive_v6_0.xlsx: </w:t>
      </w:r>
      <w:r>
        <w:rPr>
          <w:rFonts w:ascii="Arial" w:cs="Arial" w:eastAsia="Arial" w:hAnsi="Arial"/>
          <w:sz w:val="22"/>
          <w:szCs w:val="22"/>
        </w:rPr>
        <w:t xml:space="preserve">Multi-sheet workbook with Summary, Monomer Detail, Multimer Detail, DDG Detail, and Concordance Detail sheets.</w:t>
      </w:r>
    </w:p>
    <w:p>
      <w:pPr>
        <w:pStyle w:val="Heading2"/>
        <w:spacing w:after="160" w:before="280"/>
      </w:pPr>
      <w:r>
        <w:rPr>
          <w:rFonts w:ascii="Arial" w:cs="Arial" w:eastAsia="Arial" w:hAnsi="Arial"/>
          <w:b/>
          <w:bCs/>
          <w:color w:val="1F4E79"/>
          <w:sz w:val="24"/>
          <w:szCs w:val="24"/>
        </w:rPr>
        <w:t xml:space="preserve">10.2 Key Output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Column</w:t>
            </w:r>
          </w:p>
        </w:tc>
        <w:tc>
          <w:tcPr>
            <w:tcW w:type="dxa" w:w="6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v6_final_score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Pipeline 1 composite disruption score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v6_tier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Tier assignment (Tier 1–4)</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v6_mechanism</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16-category mechanism classification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v6_mechanism_partner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Associated interaction partner (if applicable)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concordance_strict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X/N strict four-way concordance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concordance_relaxed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X/N relaxed four-way concordance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ddg_monomer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Monomer fold DDG (Axis 1, kcal/mol)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ddg_binding_{partner}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Per-partner binding DDG (Axis 3, kcal/mol)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ddg_fold_{partner}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Per-partner complex fold DDG (Axis 2, kcal/mol)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ddg_monomer_confident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True if monomer_plddt ≥ 50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ddg_{partner}_confident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True if multi_{partner}_plddt ≥ 50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ddg_interp_{partner}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Per-partner DDG interpretation string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ddg_summary_flags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Variant-level DDG summary flags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ddg_low_confidence_flag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Flags for high DDG at low confidence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nbhd_tier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Pipeline 2 tier assignment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pipeline_agreement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Agreement category between Pipeline 1 and 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variant_summary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Human-readable summary string</w:t>
            </w:r>
          </w:p>
        </w:tc>
      </w:tr>
    </w:tbl>
    <w:p>
      <w:pPr>
        <w:pStyle w:val="Heading1"/>
        <w:spacing w:after="200" w:before="360"/>
      </w:pPr>
      <w:r>
        <w:rPr>
          <w:rFonts w:ascii="Arial" w:cs="Arial" w:eastAsia="Arial" w:hAnsi="Arial"/>
          <w:b/>
          <w:bCs/>
          <w:color w:val="1F4E79"/>
          <w:sz w:val="28"/>
          <w:szCs w:val="28"/>
        </w:rPr>
        <w:t xml:space="preserve">11. Software and Dependencies</w:t>
      </w:r>
    </w:p>
    <w:p>
      <w:pPr>
        <w:spacing w:after="120" w:before="0" w:line="276"/>
      </w:pPr>
      <w:r>
        <w:rPr>
          <w:rFonts w:ascii="Arial" w:cs="Arial" w:eastAsia="Arial" w:hAnsi="Arial"/>
          <w:sz w:val="22"/>
          <w:szCs w:val="22"/>
        </w:rPr>
        <w:t xml:space="preserve">The pipeline is implemented as a Jupyter notebook in Python 3.9+ and requires: Biopython (≥1.86) for structure parsing (PDBParser, MMCIFParser), contact analysis (NeighborSearch), and solvent accessibility (ShrakeRupley); pandas and NumPy for data manipulation; openpyxl for XLSX output; and mkdssp (DSSP v4) for secondary structure assignment. FoldX 5 is required for DDG calculations (cells 6a and 6b) and must be installed separately with a valid license. AlphaFold structures are obtained from the AlphaFold Protein Structure Database (monomer) and the AlphaFold Server (multimer predictions).</w:t>
      </w:r>
    </w:p>
    <w:p>
      <w:pPr>
        <w:pStyle w:val="Heading1"/>
        <w:spacing w:after="200" w:before="360"/>
      </w:pPr>
      <w:r>
        <w:rPr>
          <w:rFonts w:ascii="Arial" w:cs="Arial" w:eastAsia="Arial" w:hAnsi="Arial"/>
          <w:b/>
          <w:bCs/>
          <w:color w:val="1F4E79"/>
          <w:sz w:val="28"/>
          <w:szCs w:val="28"/>
        </w:rPr>
        <w:t xml:space="preserve">12. Known Limitations</w:t>
      </w:r>
    </w:p>
    <w:p>
      <w:pPr>
        <w:spacing w:after="120" w:before="0" w:line="276"/>
      </w:pPr>
      <w:r>
        <w:rPr>
          <w:rFonts w:ascii="Arial" w:cs="Arial" w:eastAsia="Arial" w:hAnsi="Arial"/>
          <w:sz w:val="22"/>
          <w:szCs w:val="22"/>
        </w:rPr>
        <w:t xml:space="preserve">GLI3 (27 variants) and TCF7L1 (9 variants) are complete structural blind spots: no AlphaFold monomer predictions produced structures with sufficient confidence for evaluation. SHROOM3 has only 11 of 39 variants with best_plddt ≥ 50 due to extensive intrinsically disordered regions. Together, these limitations mean 113 of 163 variants (69%) are classified as “Structure unevaluable.” The pipeline explicitly flags these via the structure_evaluable column rather than producing unreliable assessments.</w:t>
      </w:r>
    </w:p>
    <w:p>
      <w:pPr>
        <w:spacing w:after="120" w:before="0" w:line="276"/>
      </w:pPr>
      <w:r>
        <w:rPr>
          <w:rFonts w:ascii="Arial" w:cs="Arial" w:eastAsia="Arial" w:hAnsi="Arial"/>
          <w:sz w:val="22"/>
          <w:szCs w:val="22"/>
        </w:rPr>
        <w:t xml:space="preserve">FoldX DDG calculations depend on the accuracy of the input structure. AlphaFold predictions in disordered or low-confidence regions can produce artificially large DDG values; the pLDDT gating framework mitigates but does not eliminate this risk. The ddg_low_confidence_flag column highlights cases requiring manual review.</w:t>
      </w:r>
    </w:p>
    <w:p>
      <w:pPr>
        <w:spacing w:after="120" w:before="0" w:line="276"/>
      </w:pPr>
      <w:r>
        <w:rPr>
          <w:rFonts w:ascii="Arial" w:cs="Arial" w:eastAsia="Arial" w:hAnsi="Arial"/>
          <w:sz w:val="22"/>
          <w:szCs w:val="22"/>
        </w:rPr>
        <w:t xml:space="preserve">CDH2 construct coverage is incomplete: variants at positions ≤159 fall outside both multimer constructs.</w:t>
      </w:r>
    </w:p>
    <w:p>
      <w:pPr>
        <w:spacing w:after="120" w:before="0" w:line="276"/>
      </w:pPr>
      <w:r>
        <w:rPr>
          <w:rFonts w:ascii="Arial" w:cs="Arial" w:eastAsia="Arial" w:hAnsi="Arial"/>
          <w:sz w:val="22"/>
          <w:szCs w:val="22"/>
        </w:rPr>
        <w:t xml:space="preserve">The DVL2 R367G / R367Q annotation CSV duplication at source has been resolved by programmatic deduplication (Cell 3) but the source file retains the duplicate rows.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CHD Variant Pipeline v6.0-A3 — Technical Methods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1F4E79"/>
      <w:sz w:val="24"/>
      <w:szCs w:val="24"/>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2026-04-13T18:42:43.141Z</dcterms:created>
  <dcterms:modified xsi:type="dcterms:W3CDTF">2026-04-13T18:42:43.142Z</dcterms:modified>
</cp:coreProperties>
</file>

<file path=docProps/custom.xml><?xml version="1.0" encoding="utf-8"?>
<Properties xmlns="http://schemas.openxmlformats.org/officeDocument/2006/custom-properties" xmlns:vt="http://schemas.openxmlformats.org/officeDocument/2006/docPropsVTypes"/>
</file>