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英语词汇学习影响因素的实证研究基于uvlt测试的多元回归分析"/>
    <w:p>
      <w:pPr>
        <w:pStyle w:val="Heading1"/>
      </w:pPr>
      <w:r>
        <w:t xml:space="preserve">英语词汇学习影响因素的实证研究：基于UVLT测试的多元回归分析</w:t>
      </w:r>
    </w:p>
    <w:bookmarkStart w:id="20" w:name="abstract"/>
    <w:p>
      <w:pPr>
        <w:pStyle w:val="Heading2"/>
      </w:pPr>
      <w:r>
        <w:t xml:space="preserve">Abstract</w:t>
      </w:r>
    </w:p>
    <w:p>
      <w:pPr>
        <w:pStyle w:val="FirstParagraph"/>
      </w:pPr>
      <w:r>
        <w:t xml:space="preserve">本研究旨在探讨移动应用使用频率、英语四级学习程度和高考语文成绩对中国大学生英语词汇水平的影响。采用横截面调查设计，收集75名大学生的学习行为数据和词汇测试成绩（UVLT Level 1000和Level 3000）。通过多元线性回归分析发现，不同词汇水平的影响因素存在显著差异：在基础词汇水平（Level 1000）模型中，App使用频率（β=0.438, p=0.0116）和四级学习程度（β=0.316, p=0.0382）显著正向影响成绩，而高考语文成绩不显著（β=0.067, p=0.1613）；在高级词汇水平（Level 3000）模型中，App使用频率（β=0.358, p=0.0257）和高考语文成绩（β=0.113, p=0.0126）显著影响成绩，而四级学习程度变得不显著（β=0.119, p=0.3947）。两个模型分别解释了28.33%和27.05%的方差。研究结果表明，学习行为和语言基础在不同词汇难度层次上发挥不同作用，为英语词汇教学提供了实证依据。</w:t>
      </w:r>
    </w:p>
    <w:p>
      <w:pPr>
        <w:pStyle w:val="BodyText"/>
      </w:pPr>
      <w:r>
        <w:rPr>
          <w:bCs/>
          <w:b/>
        </w:rPr>
        <w:t xml:space="preserve">关键词：</w:t>
      </w:r>
      <w:r>
        <w:t xml:space="preserve"> </w:t>
      </w:r>
      <w:r>
        <w:t xml:space="preserve">英语词汇习得；移动学习；线性回归分析；UVLT；影响因素</w:t>
      </w:r>
    </w:p>
    <w:p>
      <w:r>
        <w:pict>
          <v:rect style="width:0;height:1.5pt" o:hralign="center" o:hrstd="t" o:hr="t"/>
        </w:pict>
      </w:r>
    </w:p>
    <w:bookmarkEnd w:id="20"/>
    <w:bookmarkStart w:id="24" w:name="introduction"/>
    <w:p>
      <w:pPr>
        <w:pStyle w:val="Heading2"/>
      </w:pPr>
      <w:r>
        <w:t xml:space="preserve">1. Introduction</w:t>
      </w:r>
    </w:p>
    <w:bookmarkStart w:id="21" w:name="研究背景"/>
    <w:p>
      <w:pPr>
        <w:pStyle w:val="Heading3"/>
      </w:pPr>
      <w:r>
        <w:t xml:space="preserve">1.1 研究背景</w:t>
      </w:r>
    </w:p>
    <w:p>
      <w:pPr>
        <w:pStyle w:val="FirstParagraph"/>
      </w:pPr>
      <w:r>
        <w:t xml:space="preserve">在全球化背景下，英语作为国际通用语言的地位日益突出，英语能力已成为大学生必备的核心素养之一。词汇作为语言学习的基石，其习得水平直接影响学习者的阅读、写作、听力和口语能力（Nation, 2001）。研究表明，词汇量的大小与英语综合能力呈高度正相关（Laufer &amp; Ravenhorst-Kalovski, 2010）。然而，中国大学生在英语词汇学习中普遍面临记忆负担重、遗忘率高、应用能力弱等问题，这严重制约了他们英语水平的提升。</w:t>
      </w:r>
    </w:p>
    <w:p>
      <w:pPr>
        <w:pStyle w:val="BodyText"/>
      </w:pPr>
      <w:r>
        <w:t xml:space="preserve">近年来，移动技术的快速发展为语言学习提供了新的途径。各类英语学习APP如”百词斩”、</w:t>
      </w:r>
      <w:r>
        <w:t xml:space="preserve">“</w:t>
      </w:r>
      <w:r>
        <w:t xml:space="preserve">扇贝单词</w:t>
      </w:r>
      <w:r>
        <w:t xml:space="preserve">”</w:t>
      </w:r>
      <w:r>
        <w:t xml:space="preserve">、</w:t>
      </w:r>
      <w:r>
        <w:t xml:space="preserve">“</w:t>
      </w:r>
      <w:r>
        <w:t xml:space="preserve">不背单词</w:t>
      </w:r>
      <w:r>
        <w:t xml:space="preserve">”</w:t>
      </w:r>
      <w:r>
        <w:t xml:space="preserve">等应运而生，通过碎片化学习、个性化推送、游戏化设计等方式吸引了大量用户。技术辅助语言学习（Computer-Assisted Language Learning, CALL）的相关研究表明，移动学习工具能够有效提升学习动机和学习效果（Stockwell, 2013）。然而，关于APP使用频率与词汇习得效果之间关系的实证研究仍相对匮乏，特别是在不同词汇难度层次上的差异效应尚未得到充分探讨。</w:t>
      </w:r>
    </w:p>
    <w:bookmarkEnd w:id="21"/>
    <w:bookmarkStart w:id="22" w:name="研究问题"/>
    <w:p>
      <w:pPr>
        <w:pStyle w:val="Heading3"/>
      </w:pPr>
      <w:r>
        <w:t xml:space="preserve">1.2 研究问题</w:t>
      </w:r>
    </w:p>
    <w:p>
      <w:pPr>
        <w:pStyle w:val="FirstParagraph"/>
      </w:pPr>
      <w:r>
        <w:t xml:space="preserve">尽管词汇学习的重要性已得到广泛认同，但影响词汇习得的因素复杂多样。从学习者角度看，学习投入程度、学习策略、认知能力等都可能发挥作用；从语言基础角度看，母语能力和已有外语水平也可能产生迁移效应。具体而言，本研究关注以下三个关键问题：</w:t>
      </w:r>
    </w:p>
    <w:p>
      <w:pPr>
        <w:numPr>
          <w:ilvl w:val="0"/>
          <w:numId w:val="1001"/>
        </w:numPr>
      </w:pPr>
      <w:r>
        <w:rPr>
          <w:bCs/>
          <w:b/>
        </w:rPr>
        <w:t xml:space="preserve">移动学习工具的使用频率是否显著影响词汇习得？</w:t>
      </w:r>
      <w:r>
        <w:t xml:space="preserve"> </w:t>
      </w:r>
      <w:r>
        <w:t xml:space="preserve">尽管APP学习已成为普遍现象，但其实际效果如何？高频使用是否必然带来更好的学习效果？</w:t>
      </w:r>
    </w:p>
    <w:p>
      <w:pPr>
        <w:numPr>
          <w:ilvl w:val="0"/>
          <w:numId w:val="1001"/>
        </w:numPr>
      </w:pPr>
      <w:r>
        <w:rPr>
          <w:bCs/>
          <w:b/>
        </w:rPr>
        <w:t xml:space="preserve">英语学习程度（如四级备考状态）是否对词汇水平产生影响？</w:t>
      </w:r>
      <w:r>
        <w:t xml:space="preserve"> </w:t>
      </w:r>
      <w:r>
        <w:t xml:space="preserve">学习动机和系统性学习投入是否能转化为可测量的词汇能力提升？</w:t>
      </w:r>
    </w:p>
    <w:p>
      <w:pPr>
        <w:numPr>
          <w:ilvl w:val="0"/>
          <w:numId w:val="1001"/>
        </w:numPr>
      </w:pPr>
      <w:r>
        <w:rPr>
          <w:bCs/>
          <w:b/>
        </w:rPr>
        <w:t xml:space="preserve">母语能力（高考语文成绩）是否对英语词汇学习产生迁移效应？</w:t>
      </w:r>
      <w:r>
        <w:t xml:space="preserve"> </w:t>
      </w:r>
      <w:r>
        <w:t xml:space="preserve">语言学习中的共通能力（如元语言意识、语言分析能力）是否能够跨语言发挥作用？</w:t>
      </w:r>
    </w:p>
    <w:p>
      <w:pPr>
        <w:pStyle w:val="FirstParagraph"/>
      </w:pPr>
      <w:r>
        <w:t xml:space="preserve">更重要的是，这些因素在不同词汇难度层次（基础词汇vs.高级词汇）上的作用是否存在差异？这一问题对于理解词汇习得的阶段性特征和制定差异化教学策略具有重要意义。</w:t>
      </w:r>
    </w:p>
    <w:bookmarkEnd w:id="22"/>
    <w:bookmarkStart w:id="23" w:name="研究目的和假设"/>
    <w:p>
      <w:pPr>
        <w:pStyle w:val="Heading3"/>
      </w:pPr>
      <w:r>
        <w:t xml:space="preserve">1.3 研究目的和假设</w:t>
      </w:r>
    </w:p>
    <w:p>
      <w:pPr>
        <w:pStyle w:val="FirstParagraph"/>
      </w:pPr>
      <w:r>
        <w:t xml:space="preserve">本研究采用UVLT（University Vocabulary Levels Test）作为测量工具，选取Level 1000（基础词汇）和Level 3000（高级词汇）两个层次，通过多元线性回归分析探讨APP使用频率、四级学习程度和高考语文成绩对词汇水平的影响。</w:t>
      </w:r>
    </w:p>
    <w:p>
      <w:pPr>
        <w:pStyle w:val="BodyText"/>
      </w:pPr>
      <w:r>
        <w:t xml:space="preserve">基于文献回顾和理论分析，本研究提出以下假设：</w:t>
      </w:r>
    </w:p>
    <w:p>
      <w:pPr>
        <w:pStyle w:val="BodyText"/>
      </w:pPr>
      <w:r>
        <w:rPr>
          <w:bCs/>
          <w:b/>
        </w:rPr>
        <w:t xml:space="preserve">H1:</w:t>
      </w:r>
      <w:r>
        <w:t xml:space="preserve"> </w:t>
      </w:r>
      <w:r>
        <w:t xml:space="preserve">APP使用频率对词汇水平有显著正向影响，且这种影响在不同难度层次上保持稳定。</w:t>
      </w:r>
    </w:p>
    <w:p>
      <w:pPr>
        <w:pStyle w:val="BodyText"/>
      </w:pPr>
      <w:r>
        <w:rPr>
          <w:bCs/>
          <w:b/>
        </w:rPr>
        <w:t xml:space="preserve">H2:</w:t>
      </w:r>
      <w:r>
        <w:t xml:space="preserve"> </w:t>
      </w:r>
      <w:r>
        <w:t xml:space="preserve">四级学习程度对词汇水平有显著正向影响，特别是对基础词汇的影响更为明显。</w:t>
      </w:r>
    </w:p>
    <w:p>
      <w:pPr>
        <w:pStyle w:val="BodyText"/>
      </w:pPr>
      <w:r>
        <w:rPr>
          <w:bCs/>
          <w:b/>
        </w:rPr>
        <w:t xml:space="preserve">H3:</w:t>
      </w:r>
      <w:r>
        <w:t xml:space="preserve"> </w:t>
      </w:r>
      <w:r>
        <w:t xml:space="preserve">高考语文成绩对词汇水平有正向影响，且随着词汇难度增加，这种跨语言迁移效应可能更加显著。</w:t>
      </w:r>
    </w:p>
    <w:p>
      <w:pPr>
        <w:pStyle w:val="BodyText"/>
      </w:pPr>
      <w:r>
        <w:t xml:space="preserve">通过验证这些假设，本研究期望为英语词汇教学提供实证依据，为学习者制定有效的学习策略提供指导，并为移动学习工具的设计和应用提供参考。</w:t>
      </w:r>
    </w:p>
    <w:p>
      <w:r>
        <w:pict>
          <v:rect style="width:0;height:1.5pt" o:hralign="center" o:hrstd="t" o:hr="t"/>
        </w:pict>
      </w:r>
    </w:p>
    <w:bookmarkEnd w:id="23"/>
    <w:bookmarkEnd w:id="24"/>
    <w:bookmarkStart w:id="30" w:name="literature-review"/>
    <w:p>
      <w:pPr>
        <w:pStyle w:val="Heading2"/>
      </w:pPr>
      <w:r>
        <w:t xml:space="preserve">2. Literature Review</w:t>
      </w:r>
    </w:p>
    <w:bookmarkStart w:id="25" w:name="词汇习得理论"/>
    <w:p>
      <w:pPr>
        <w:pStyle w:val="Heading3"/>
      </w:pPr>
      <w:r>
        <w:t xml:space="preserve">2.1 词汇习得理论</w:t>
      </w:r>
    </w:p>
    <w:p>
      <w:pPr>
        <w:pStyle w:val="FirstParagraph"/>
      </w:pPr>
      <w:r>
        <w:t xml:space="preserve">词汇习得是二语习得研究的核心议题之一。Nation（2001）提出的词汇知识框架强调，词汇学习不仅涉及形式、意义和使用三个维度，还包括接受性知识和产出性知识的区分。Laufer（1998）的词汇习得阈值理论指出，学习者需要掌握约3000个词族才能达到基本的阅读理解水平，而5000词族是进行学术阅读的基础。这一理论框架为本研究选择UVLT Level 1000和Level 3000作为测量指标提供了理论依据。</w:t>
      </w:r>
    </w:p>
    <w:p>
      <w:pPr>
        <w:pStyle w:val="BodyText"/>
      </w:pPr>
      <w:r>
        <w:t xml:space="preserve">关于词汇习得的认知机制，Schmidt（1990）的注意假说（Noticing Hypothesis）强调，学习者对语言输入的有意识注意是词汇习得的必要条件。这意味着单纯的接触并不足以保证词汇学习，学习者的主动投入和认知加工深度至关重要。这一理论支持本研究关注学习行为变量（如APP使用频率和学习程度）的合理性。</w:t>
      </w:r>
    </w:p>
    <w:bookmarkEnd w:id="25"/>
    <w:bookmarkStart w:id="26" w:name="技术辅助语言学习call研究"/>
    <w:p>
      <w:pPr>
        <w:pStyle w:val="Heading3"/>
      </w:pPr>
      <w:r>
        <w:t xml:space="preserve">2.2 技术辅助语言学习（CALL）研究</w:t>
      </w:r>
    </w:p>
    <w:p>
      <w:pPr>
        <w:pStyle w:val="FirstParagraph"/>
      </w:pPr>
      <w:r>
        <w:t xml:space="preserve">移动辅助语言学习（Mobile-Assisted Language Learning, MALL）作为CALL的新兴分支，近年来受到广泛关注。Stockwell（2013）的综述指出，移动学习的优势在于便捷性、灵活性和个性化，但学习效果受到学习者自律性、任务设计质量等多种因素影响。Burston（2015）的元分析发现，大多数MALL研究报告了积极效果，但高质量的实证研究仍然不足。</w:t>
      </w:r>
    </w:p>
    <w:p>
      <w:pPr>
        <w:pStyle w:val="BodyText"/>
      </w:pPr>
      <w:r>
        <w:t xml:space="preserve">专门针对词汇学习APP的研究显示，游戏化设计、间隔重复算法、多媒体呈现等特征能够提升学习动机和记忆效果（Wu, 2015）。然而，Levy和Kennedy（2005）警告，技术工具的可获得性不等于有效性，使用频率与学习效果之间的关系可能受到使用质量、学习策略等中介变量的调节。本研究通过测量APP使用频率对词汇成绩的直接效应，为这一争论提供实证证据。</w:t>
      </w:r>
    </w:p>
    <w:bookmarkEnd w:id="26"/>
    <w:bookmarkStart w:id="27" w:name="学习动机和学习程度的影响"/>
    <w:p>
      <w:pPr>
        <w:pStyle w:val="Heading3"/>
      </w:pPr>
      <w:r>
        <w:t xml:space="preserve">2.3 学习动机和学习程度的影响</w:t>
      </w:r>
    </w:p>
    <w:p>
      <w:pPr>
        <w:pStyle w:val="FirstParagraph"/>
      </w:pPr>
      <w:r>
        <w:t xml:space="preserve">Dörnyei（2005）的第二语言动机自我系统理论强调，学习动机是预测学习成果的重要因素。具体到词汇学习，Tseng和Schmitt（2008）发现，学习者的词汇学习动机与词汇量增长显著相关。在中国大学英语语境中，大学英语四级考试（CET-4）作为重要的评价标准，对学习者的学习行为产生强烈的驱动作用（Cheng, 2008）。</w:t>
      </w:r>
    </w:p>
    <w:p>
      <w:pPr>
        <w:pStyle w:val="BodyText"/>
      </w:pPr>
      <w:r>
        <w:t xml:space="preserve">备考四级的学习者通常表现出更高的学习投入度，包括更多的学习时间、更系统的学习计划和更强的学习意愿。因此，四级学习程度可以作为学习动机和学习投入的代理变量。本研究假设，这种有目的的系统性学习将转化为更好的词汇习得效果，特别是在基础词汇层面。</w:t>
      </w:r>
    </w:p>
    <w:bookmarkEnd w:id="27"/>
    <w:bookmarkStart w:id="28" w:name="母语基础的迁移效应"/>
    <w:p>
      <w:pPr>
        <w:pStyle w:val="Heading3"/>
      </w:pPr>
      <w:r>
        <w:t xml:space="preserve">2.4 母语基础的迁移效应</w:t>
      </w:r>
    </w:p>
    <w:p>
      <w:pPr>
        <w:pStyle w:val="FirstParagraph"/>
      </w:pPr>
      <w:r>
        <w:t xml:space="preserve">跨语言迁移（Cross-linguistic Transfer）是二语习得研究的经典议题。Cummins（1979）的语言相互依存假说（Linguistic Interdependence Hypothesis）提出，母语能力的发展为第二语言学习提供认知基础，两种语言的学术能力存在共同的底层熟练度（Common Underlying Proficiency）。这意味着母语能力较强的学习者可能在第二语言学习中表现出优势。</w:t>
      </w:r>
    </w:p>
    <w:p>
      <w:pPr>
        <w:pStyle w:val="BodyText"/>
      </w:pPr>
      <w:r>
        <w:t xml:space="preserve">具体到词汇学习，Koda（2005）的研究指出，母语的语言意识和元认知能力能够迁移到外语词汇学习中。高考语文成绩作为母语能力的综合指标，反映了学习者的语言分析能力、记忆能力和学习策略。Jiang（2004）的词汇发展模型提出，在词汇学习的早期阶段，学习者主要依赖形式-意义的直接映射；而在高级阶段，则需要更深层的语义加工和语用理解，这可能更多地依赖于学习者的整体语言能力。</w:t>
      </w:r>
    </w:p>
    <w:p>
      <w:pPr>
        <w:pStyle w:val="BodyText"/>
      </w:pPr>
      <w:r>
        <w:t xml:space="preserve">因此，本研究预期，母语能力的迁移效应可能在高级词汇学习中更为显著，因为高级词汇的习得需要更强的语言分析和理解能力。</w:t>
      </w:r>
    </w:p>
    <w:bookmarkEnd w:id="28"/>
    <w:bookmarkStart w:id="29" w:name="研究空白"/>
    <w:p>
      <w:pPr>
        <w:pStyle w:val="Heading3"/>
      </w:pPr>
      <w:r>
        <w:t xml:space="preserve">2.5 研究空白</w:t>
      </w:r>
    </w:p>
    <w:p>
      <w:pPr>
        <w:pStyle w:val="FirstParagraph"/>
      </w:pPr>
      <w:r>
        <w:t xml:space="preserve">综合现有文献，可以发现以下研究空白：</w:t>
      </w:r>
    </w:p>
    <w:p>
      <w:pPr>
        <w:numPr>
          <w:ilvl w:val="0"/>
          <w:numId w:val="1002"/>
        </w:numPr>
      </w:pPr>
      <w:r>
        <w:rPr>
          <w:bCs/>
          <w:b/>
        </w:rPr>
        <w:t xml:space="preserve">关于移动学习APP使用频率与词汇习得关系的实证研究不足</w:t>
      </w:r>
      <w:r>
        <w:t xml:space="preserve">，特别是在中国大学生群体中的研究较少。</w:t>
      </w:r>
    </w:p>
    <w:p>
      <w:pPr>
        <w:numPr>
          <w:ilvl w:val="0"/>
          <w:numId w:val="1002"/>
        </w:numPr>
      </w:pPr>
      <w:r>
        <w:rPr>
          <w:bCs/>
          <w:b/>
        </w:rPr>
        <w:t xml:space="preserve">缺乏对不同词汇难度层次影响因素差异的系统探讨</w:t>
      </w:r>
      <w:r>
        <w:t xml:space="preserve">。现有研究多关注总体词汇量，而忽视了基础词汇与高级词汇习得机制可能存在的差异。</w:t>
      </w:r>
    </w:p>
    <w:p>
      <w:pPr>
        <w:numPr>
          <w:ilvl w:val="0"/>
          <w:numId w:val="1002"/>
        </w:numPr>
      </w:pPr>
      <w:r>
        <w:rPr>
          <w:bCs/>
          <w:b/>
        </w:rPr>
        <w:t xml:space="preserve">关于母语能力对英语词汇学习迁移效应的研究结论不一致</w:t>
      </w:r>
      <w:r>
        <w:t xml:space="preserve">，需要更多实证证据。</w:t>
      </w:r>
    </w:p>
    <w:p>
      <w:pPr>
        <w:numPr>
          <w:ilvl w:val="0"/>
          <w:numId w:val="1002"/>
        </w:numPr>
      </w:pPr>
      <w:r>
        <w:rPr>
          <w:bCs/>
          <w:b/>
        </w:rPr>
        <w:t xml:space="preserve">多因素综合分析的研究相对匮乏</w:t>
      </w:r>
      <w:r>
        <w:t xml:space="preserve">，大多数研究仅关注单一因素，缺乏对学习行为、学习投入和语言基础的整合性考察。</w:t>
      </w:r>
    </w:p>
    <w:p>
      <w:pPr>
        <w:pStyle w:val="FirstParagraph"/>
      </w:pPr>
      <w:r>
        <w:t xml:space="preserve">本研究旨在填补这些空白，通过多元回归分析同时考察三类关键因素在不同词汇难度层次上的作用，为词汇习得理论和教学实践提供新的见解。</w:t>
      </w:r>
    </w:p>
    <w:p>
      <w:r>
        <w:pict>
          <v:rect style="width:0;height:1.5pt" o:hralign="center" o:hrstd="t" o:hr="t"/>
        </w:pict>
      </w:r>
    </w:p>
    <w:bookmarkEnd w:id="29"/>
    <w:bookmarkEnd w:id="30"/>
    <w:bookmarkStart w:id="39" w:name="method"/>
    <w:p>
      <w:pPr>
        <w:pStyle w:val="Heading2"/>
      </w:pPr>
      <w:r>
        <w:t xml:space="preserve">3. Method</w:t>
      </w:r>
    </w:p>
    <w:bookmarkStart w:id="31" w:name="研究设计"/>
    <w:p>
      <w:pPr>
        <w:pStyle w:val="Heading3"/>
      </w:pPr>
      <w:r>
        <w:t xml:space="preserve">3.1 研究设计</w:t>
      </w:r>
    </w:p>
    <w:p>
      <w:pPr>
        <w:pStyle w:val="FirstParagraph"/>
      </w:pPr>
      <w:r>
        <w:t xml:space="preserve">本研究采用横截面调查（Cross-sectional Survey）设计，通过问卷调查收集自变量数据，通过标准化测试收集因变量数据，运用多元线性回归分析探讨预测变量对词汇水平的影响。</w:t>
      </w:r>
    </w:p>
    <w:bookmarkEnd w:id="31"/>
    <w:bookmarkStart w:id="32" w:name="研究对象"/>
    <w:p>
      <w:pPr>
        <w:pStyle w:val="Heading3"/>
      </w:pPr>
      <w:r>
        <w:t xml:space="preserve">3.2 研究对象</w:t>
      </w:r>
    </w:p>
    <w:p>
      <w:pPr>
        <w:pStyle w:val="FirstParagraph"/>
      </w:pPr>
      <w:r>
        <w:t xml:space="preserve">研究对象为某省属综合性大学的在校本科生，采用便利抽样方法招募被试。最终有效样本为75名学生（N=75）。纳入标准包括：（1）非英语专业学生；（2）已完成大学英语基础课程；（3）自愿参与研究。样本中男性38人（50.7%），女性37人（49.3%）；大二学生45人（60%），大三学生30人（40%）。所有被试均已签署知情同意书。</w:t>
      </w:r>
    </w:p>
    <w:bookmarkEnd w:id="32"/>
    <w:bookmarkStart w:id="35" w:name="研究变量"/>
    <w:p>
      <w:pPr>
        <w:pStyle w:val="Heading3"/>
      </w:pPr>
      <w:r>
        <w:t xml:space="preserve">3.3 研究变量</w:t>
      </w:r>
    </w:p>
    <w:bookmarkStart w:id="33" w:name="因变量"/>
    <w:p>
      <w:pPr>
        <w:pStyle w:val="Heading4"/>
      </w:pPr>
      <w:r>
        <w:t xml:space="preserve">3.3.1 因变量</w:t>
      </w:r>
    </w:p>
    <w:p>
      <w:pPr>
        <w:pStyle w:val="FirstParagraph"/>
      </w:pPr>
      <w:r>
        <w:rPr>
          <w:bCs/>
          <w:b/>
        </w:rPr>
        <w:t xml:space="preserve">UVLT测试成绩：</w:t>
      </w:r>
      <w:r>
        <w:t xml:space="preserve"> </w:t>
      </w:r>
      <w:r>
        <w:t xml:space="preserve">采用Schmitt等人（2001）开发的大学词汇水平测试（University Vocabulary Levels Test, UVLT），该测试具有良好的信度和效度，已被广泛应用于英语词汇研究。本研究选取两个层次：</w:t>
      </w:r>
    </w:p>
    <w:p>
      <w:pPr>
        <w:numPr>
          <w:ilvl w:val="0"/>
          <w:numId w:val="1003"/>
        </w:numPr>
        <w:pStyle w:val="Compact"/>
      </w:pPr>
      <w:r>
        <w:rPr>
          <w:bCs/>
          <w:b/>
        </w:rPr>
        <w:t xml:space="preserve">score1（UVLT Level 1000）：</w:t>
      </w:r>
      <w:r>
        <w:t xml:space="preserve"> </w:t>
      </w:r>
      <w:r>
        <w:t xml:space="preserve">测量基础高频词汇掌握情况，词汇范围为最常用的1000词族。测试包括30道匹配题，满分30分。</w:t>
      </w:r>
    </w:p>
    <w:p>
      <w:pPr>
        <w:numPr>
          <w:ilvl w:val="0"/>
          <w:numId w:val="1003"/>
        </w:numPr>
        <w:pStyle w:val="Compact"/>
      </w:pPr>
      <w:r>
        <w:rPr>
          <w:bCs/>
          <w:b/>
        </w:rPr>
        <w:t xml:space="preserve">score2（UVLT Level 3000）：</w:t>
      </w:r>
      <w:r>
        <w:t xml:space="preserve"> </w:t>
      </w:r>
      <w:r>
        <w:t xml:space="preserve">测量中高级词汇掌握情况，词汇范围为第3000频段词族。测试同样包括30道匹配题，满分30分。</w:t>
      </w:r>
    </w:p>
    <w:bookmarkEnd w:id="33"/>
    <w:bookmarkStart w:id="34" w:name="自变量"/>
    <w:p>
      <w:pPr>
        <w:pStyle w:val="Heading4"/>
      </w:pPr>
      <w:r>
        <w:t xml:space="preserve">3.3.2 自变量</w:t>
      </w:r>
    </w:p>
    <w:p>
      <w:pPr>
        <w:pStyle w:val="FirstParagraph"/>
      </w:pPr>
      <w:r>
        <w:rPr>
          <w:bCs/>
          <w:b/>
        </w:rPr>
        <w:t xml:space="preserve">Frequency（APP使用频率）：</w:t>
      </w:r>
      <w:r>
        <w:t xml:space="preserve"> </w:t>
      </w:r>
      <w:r>
        <w:t xml:space="preserve">通过自我报告问卷测量学生使用英语学习APP（包括单词记忆类APP如”百词斩”、</w:t>
      </w:r>
      <w:r>
        <w:t xml:space="preserve">“</w:t>
      </w:r>
      <w:r>
        <w:t xml:space="preserve">扇贝单词</w:t>
      </w:r>
      <w:r>
        <w:t xml:space="preserve">”</w:t>
      </w:r>
      <w:r>
        <w:t xml:space="preserve">等）的频率。采用7点量表（1=从不使用，7=每天使用多次），分数越高表示使用频率越高。</w:t>
      </w:r>
    </w:p>
    <w:p>
      <w:pPr>
        <w:pStyle w:val="BodyText"/>
      </w:pPr>
      <w:r>
        <w:rPr>
          <w:bCs/>
          <w:b/>
        </w:rPr>
        <w:t xml:space="preserve">Degree（四级学习程度）：</w:t>
      </w:r>
      <w:r>
        <w:t xml:space="preserve"> </w:t>
      </w:r>
      <w:r>
        <w:t xml:space="preserve">测量学生当前的英语四级备考投入程度。采用5点量表（1=完全不准备，5=正在积极备考），作为学习动机和学习投入的代理变量。</w:t>
      </w:r>
    </w:p>
    <w:p>
      <w:pPr>
        <w:pStyle w:val="BodyText"/>
      </w:pPr>
      <w:r>
        <w:rPr>
          <w:bCs/>
          <w:b/>
        </w:rPr>
        <w:t xml:space="preserve">Grade（高考语文成绩）：</w:t>
      </w:r>
      <w:r>
        <w:t xml:space="preserve"> </w:t>
      </w:r>
      <w:r>
        <w:t xml:space="preserve">收集学生的高考语文卷面成绩（满分150分），作为母语能力的指标。为便于与其他变量比较，在数据分析前将成绩标准化处理。</w:t>
      </w:r>
    </w:p>
    <w:bookmarkEnd w:id="34"/>
    <w:bookmarkEnd w:id="35"/>
    <w:bookmarkStart w:id="36" w:name="数据收集程序"/>
    <w:p>
      <w:pPr>
        <w:pStyle w:val="Heading3"/>
      </w:pPr>
      <w:r>
        <w:t xml:space="preserve">3.4 数据收集程序</w:t>
      </w:r>
    </w:p>
    <w:p>
      <w:pPr>
        <w:pStyle w:val="FirstParagraph"/>
      </w:pPr>
      <w:r>
        <w:t xml:space="preserve">数据收集分两个阶段进行：</w:t>
      </w:r>
    </w:p>
    <w:p>
      <w:pPr>
        <w:pStyle w:val="BodyText"/>
      </w:pPr>
      <w:r>
        <w:rPr>
          <w:bCs/>
          <w:b/>
        </w:rPr>
        <w:t xml:space="preserve">阶段一：问卷调查（第1周）</w:t>
      </w:r>
      <w:r>
        <w:t xml:space="preserve"> </w:t>
      </w:r>
      <w:r>
        <w:t xml:space="preserve">- 通过在线问卷系统收集学生的APP使用频率、四级学习程度和高考语文成绩等背景信息。问卷填写时间约10分钟。</w:t>
      </w:r>
    </w:p>
    <w:p>
      <w:pPr>
        <w:pStyle w:val="BodyText"/>
      </w:pPr>
      <w:r>
        <w:rPr>
          <w:bCs/>
          <w:b/>
        </w:rPr>
        <w:t xml:space="preserve">阶段二：词汇测试（第2周）</w:t>
      </w:r>
      <w:r>
        <w:t xml:space="preserve"> </w:t>
      </w:r>
      <w:r>
        <w:t xml:space="preserve">- 组织集中的纸笔测试，施测UVLT Level 1000和Level 3000两个层次的测试。测试在标准化教室环境中进行，时间为40分钟，不允许使用词典或电子设备。</w:t>
      </w:r>
    </w:p>
    <w:p>
      <w:pPr>
        <w:pStyle w:val="BodyText"/>
      </w:pPr>
      <w:r>
        <w:t xml:space="preserve">数据收集完成后，对问卷和测试进行编码和录入，剔除无效数据（如问卷填写不完整、测试未完成者），最终得到75个有效样本。</w:t>
      </w:r>
    </w:p>
    <w:bookmarkEnd w:id="36"/>
    <w:bookmarkStart w:id="37" w:name="数据分析方法"/>
    <w:p>
      <w:pPr>
        <w:pStyle w:val="Heading3"/>
      </w:pPr>
      <w:r>
        <w:t xml:space="preserve">3.5 数据分析方法</w:t>
      </w:r>
    </w:p>
    <w:p>
      <w:pPr>
        <w:pStyle w:val="FirstParagraph"/>
      </w:pPr>
      <w:r>
        <w:t xml:space="preserve">采用SPSS 26.0和R 4.3.0进行数据分析，具体步骤如下：</w:t>
      </w:r>
    </w:p>
    <w:p>
      <w:pPr>
        <w:numPr>
          <w:ilvl w:val="0"/>
          <w:numId w:val="1004"/>
        </w:numPr>
      </w:pPr>
      <w:r>
        <w:rPr>
          <w:bCs/>
          <w:b/>
        </w:rPr>
        <w:t xml:space="preserve">描述性统计分析：</w:t>
      </w:r>
      <w:r>
        <w:t xml:space="preserve"> </w:t>
      </w:r>
      <w:r>
        <w:t xml:space="preserve">计算各变量的均值、标准差、最小值和最大值，检查数据分布特征。</w:t>
      </w:r>
    </w:p>
    <w:p>
      <w:pPr>
        <w:numPr>
          <w:ilvl w:val="0"/>
          <w:numId w:val="1004"/>
        </w:numPr>
      </w:pPr>
      <w:r>
        <w:rPr>
          <w:bCs/>
          <w:b/>
        </w:rPr>
        <w:t xml:space="preserve">相关分析：</w:t>
      </w:r>
      <w:r>
        <w:t xml:space="preserve"> </w:t>
      </w:r>
      <w:r>
        <w:t xml:space="preserve">计算Pearson相关系数矩阵，初步探索变量间的关系。</w:t>
      </w:r>
    </w:p>
    <w:p>
      <w:pPr>
        <w:numPr>
          <w:ilvl w:val="0"/>
          <w:numId w:val="1004"/>
        </w:numPr>
      </w:pPr>
      <w:r>
        <w:rPr>
          <w:bCs/>
          <w:b/>
        </w:rPr>
        <w:t xml:space="preserve">多元线性回归分析：</w:t>
      </w:r>
      <w:r>
        <w:t xml:space="preserve"> </w:t>
      </w:r>
      <w:r>
        <w:t xml:space="preserve">建立两个回归模型：</w:t>
      </w:r>
    </w:p>
    <w:p>
      <w:pPr>
        <w:numPr>
          <w:ilvl w:val="1"/>
          <w:numId w:val="1005"/>
        </w:numPr>
        <w:pStyle w:val="Compact"/>
      </w:pPr>
      <w:r>
        <w:t xml:space="preserve">模型1：score1 = β₀ + β₁Frequency + β₂Degree + β₃Grade + ε</w:t>
      </w:r>
    </w:p>
    <w:p>
      <w:pPr>
        <w:numPr>
          <w:ilvl w:val="1"/>
          <w:numId w:val="1005"/>
        </w:numPr>
        <w:pStyle w:val="Compact"/>
      </w:pPr>
      <w:r>
        <w:t xml:space="preserve">模型2：score2 = β₀ + β₁Frequency + β₂Degree + β₃Grade + ε</w:t>
      </w:r>
    </w:p>
    <w:p>
      <w:pPr>
        <w:numPr>
          <w:ilvl w:val="0"/>
          <w:numId w:val="1004"/>
        </w:numPr>
      </w:pPr>
      <w:r>
        <w:rPr>
          <w:bCs/>
          <w:b/>
        </w:rPr>
        <w:t xml:space="preserve">模型诊断：</w:t>
      </w:r>
      <w:r>
        <w:t xml:space="preserve"> </w:t>
      </w:r>
      <w:r>
        <w:t xml:space="preserve">检查回归假设，包括：</w:t>
      </w:r>
    </w:p>
    <w:p>
      <w:pPr>
        <w:numPr>
          <w:ilvl w:val="1"/>
          <w:numId w:val="1006"/>
        </w:numPr>
        <w:pStyle w:val="Compact"/>
      </w:pPr>
      <w:r>
        <w:t xml:space="preserve">多重共线性检验（方差膨胀因子VIF）</w:t>
      </w:r>
    </w:p>
    <w:p>
      <w:pPr>
        <w:numPr>
          <w:ilvl w:val="1"/>
          <w:numId w:val="1006"/>
        </w:numPr>
        <w:pStyle w:val="Compact"/>
      </w:pPr>
      <w:r>
        <w:t xml:space="preserve">残差正态性检验（Q-Q图和Shapiro-Wilk检验）</w:t>
      </w:r>
    </w:p>
    <w:p>
      <w:pPr>
        <w:numPr>
          <w:ilvl w:val="1"/>
          <w:numId w:val="1006"/>
        </w:numPr>
        <w:pStyle w:val="Compact"/>
      </w:pPr>
      <w:r>
        <w:t xml:space="preserve">残差同方差性检验（残差图）</w:t>
      </w:r>
    </w:p>
    <w:p>
      <w:pPr>
        <w:numPr>
          <w:ilvl w:val="1"/>
          <w:numId w:val="1006"/>
        </w:numPr>
        <w:pStyle w:val="Compact"/>
      </w:pPr>
      <w:r>
        <w:t xml:space="preserve">异常值和影响点检验（Cook距离）</w:t>
      </w:r>
    </w:p>
    <w:p>
      <w:pPr>
        <w:numPr>
          <w:ilvl w:val="0"/>
          <w:numId w:val="1004"/>
        </w:numPr>
      </w:pPr>
      <w:r>
        <w:rPr>
          <w:bCs/>
          <w:b/>
        </w:rPr>
        <w:t xml:space="preserve">显著性检验：</w:t>
      </w:r>
      <w:r>
        <w:t xml:space="preserve"> </w:t>
      </w:r>
      <w:r>
        <w:t xml:space="preserve">采用α=0.05作为显著性水平，评估自变量系数的统计显著性。</w:t>
      </w:r>
    </w:p>
    <w:bookmarkEnd w:id="37"/>
    <w:bookmarkStart w:id="38" w:name="伦理考虑"/>
    <w:p>
      <w:pPr>
        <w:pStyle w:val="Heading3"/>
      </w:pPr>
      <w:r>
        <w:t xml:space="preserve">3.6 伦理考虑</w:t>
      </w:r>
    </w:p>
    <w:p>
      <w:pPr>
        <w:pStyle w:val="FirstParagraph"/>
      </w:pPr>
      <w:r>
        <w:t xml:space="preserve">本研究已通过所在院校的伦理审查。所有被试在参与前已充分了解研究目的和程序，并签署知情同意书。数据收集和处理严格遵守保密原则，所有个人信息已匿名化处理。被试可随时退出研究而不受任何不利影响。</w:t>
      </w:r>
    </w:p>
    <w:p>
      <w:r>
        <w:pict>
          <v:rect style="width:0;height:1.5pt" o:hralign="center" o:hrstd="t" o:hr="t"/>
        </w:pict>
      </w:r>
    </w:p>
    <w:bookmarkEnd w:id="38"/>
    <w:bookmarkEnd w:id="39"/>
    <w:bookmarkStart w:id="46" w:name="results"/>
    <w:p>
      <w:pPr>
        <w:pStyle w:val="Heading2"/>
      </w:pPr>
      <w:r>
        <w:t xml:space="preserve">4. Results</w:t>
      </w:r>
    </w:p>
    <w:bookmarkStart w:id="40" w:name="描述性统计"/>
    <w:p>
      <w:pPr>
        <w:pStyle w:val="Heading3"/>
      </w:pPr>
      <w:r>
        <w:t xml:space="preserve">4.1 描述性统计</w:t>
      </w:r>
    </w:p>
    <w:p>
      <w:pPr>
        <w:pStyle w:val="FirstParagraph"/>
      </w:pPr>
      <w:r>
        <w:t xml:space="preserve">表1呈现了所有研究变量的描述性统计结果。在自变量方面，APP使用频率的平均值为4.23（SD=1.67），表明大多数学生使用英语学习APP的频率处于中等偏上水平。四级学习程度平均值为3.12（SD=1.09），显示样本中学生对四级考试有一定的准备意愿。高考语文成绩平均值为108.45分（SD=12.34），符合一般水平。</w:t>
      </w:r>
    </w:p>
    <w:p>
      <w:pPr>
        <w:pStyle w:val="BodyText"/>
      </w:pPr>
      <w:r>
        <w:t xml:space="preserve">在因变量方面，UVLT Level 1000的平均得分为23.47分（SD=4.12，满分30分），说明学生对基础高频词汇的掌握情况较好。UVLT Level 3000的平均得分为18.24分（SD=5.67），显著低于Level 1000，表明中高级词汇的掌握相对薄弱，这符合词汇习得的一般规律。</w:t>
      </w:r>
    </w:p>
    <w:p>
      <w:pPr>
        <w:pStyle w:val="BodyText"/>
      </w:pPr>
      <w:r>
        <w:rPr>
          <w:bCs/>
          <w:b/>
        </w:rPr>
        <w:t xml:space="preserve">表1：描述性统计（N=75）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变量</w:t>
            </w:r>
          </w:p>
        </w:tc>
        <w:tc>
          <w:tcPr/>
          <w:p>
            <w:pPr>
              <w:pStyle w:val="Compact"/>
              <w:jc w:val="left"/>
            </w:pPr>
            <w:r>
              <w:t xml:space="preserve">均值</w:t>
            </w:r>
          </w:p>
        </w:tc>
        <w:tc>
          <w:tcPr/>
          <w:p>
            <w:pPr>
              <w:pStyle w:val="Compact"/>
              <w:jc w:val="left"/>
            </w:pPr>
            <w:r>
              <w:t xml:space="preserve">标准差</w:t>
            </w:r>
          </w:p>
        </w:tc>
        <w:tc>
          <w:tcPr/>
          <w:p>
            <w:pPr>
              <w:pStyle w:val="Compact"/>
              <w:jc w:val="left"/>
            </w:pPr>
            <w:r>
              <w:t xml:space="preserve">最小值</w:t>
            </w:r>
          </w:p>
        </w:tc>
        <w:tc>
          <w:tcPr/>
          <w:p>
            <w:pPr>
              <w:pStyle w:val="Compact"/>
              <w:jc w:val="left"/>
            </w:pPr>
            <w:r>
              <w:t xml:space="preserve">最大值</w:t>
            </w:r>
          </w:p>
        </w:tc>
      </w:tr>
      <w:tr>
        <w:tc>
          <w:tcPr/>
          <w:p>
            <w:pPr>
              <w:pStyle w:val="Compact"/>
              <w:jc w:val="left"/>
            </w:pPr>
            <w:r>
              <w:t xml:space="preserve">Frequency（APP使用频率）</w:t>
            </w:r>
          </w:p>
        </w:tc>
        <w:tc>
          <w:tcPr/>
          <w:p>
            <w:pPr>
              <w:pStyle w:val="Compact"/>
              <w:jc w:val="left"/>
            </w:pPr>
            <w:r>
              <w:t xml:space="preserve">4.23</w:t>
            </w:r>
          </w:p>
        </w:tc>
        <w:tc>
          <w:tcPr/>
          <w:p>
            <w:pPr>
              <w:pStyle w:val="Compact"/>
              <w:jc w:val="left"/>
            </w:pPr>
            <w:r>
              <w:t xml:space="preserve">1.67</w:t>
            </w:r>
          </w:p>
        </w:tc>
        <w:tc>
          <w:tcPr/>
          <w:p>
            <w:pPr>
              <w:pStyle w:val="Compact"/>
              <w:jc w:val="left"/>
            </w:pPr>
            <w:r>
              <w:t xml:space="preserve">1.00</w:t>
            </w:r>
          </w:p>
        </w:tc>
        <w:tc>
          <w:tcPr/>
          <w:p>
            <w:pPr>
              <w:pStyle w:val="Compact"/>
              <w:jc w:val="left"/>
            </w:pPr>
            <w:r>
              <w:t xml:space="preserve">7.00</w:t>
            </w:r>
          </w:p>
        </w:tc>
      </w:tr>
      <w:tr>
        <w:tc>
          <w:tcPr/>
          <w:p>
            <w:pPr>
              <w:pStyle w:val="Compact"/>
              <w:jc w:val="left"/>
            </w:pPr>
            <w:r>
              <w:t xml:space="preserve">Degree（四级学习程度）</w:t>
            </w:r>
          </w:p>
        </w:tc>
        <w:tc>
          <w:tcPr/>
          <w:p>
            <w:pPr>
              <w:pStyle w:val="Compact"/>
              <w:jc w:val="left"/>
            </w:pPr>
            <w:r>
              <w:t xml:space="preserve">3.12</w:t>
            </w:r>
          </w:p>
        </w:tc>
        <w:tc>
          <w:tcPr/>
          <w:p>
            <w:pPr>
              <w:pStyle w:val="Compact"/>
              <w:jc w:val="left"/>
            </w:pPr>
            <w:r>
              <w:t xml:space="preserve">1.09</w:t>
            </w:r>
          </w:p>
        </w:tc>
        <w:tc>
          <w:tcPr/>
          <w:p>
            <w:pPr>
              <w:pStyle w:val="Compact"/>
              <w:jc w:val="left"/>
            </w:pPr>
            <w:r>
              <w:t xml:space="preserve">1.00</w:t>
            </w:r>
          </w:p>
        </w:tc>
        <w:tc>
          <w:tcPr/>
          <w:p>
            <w:pPr>
              <w:pStyle w:val="Compact"/>
              <w:jc w:val="left"/>
            </w:pPr>
            <w:r>
              <w:t xml:space="preserve">5.00</w:t>
            </w:r>
          </w:p>
        </w:tc>
      </w:tr>
      <w:tr>
        <w:tc>
          <w:tcPr/>
          <w:p>
            <w:pPr>
              <w:pStyle w:val="Compact"/>
              <w:jc w:val="left"/>
            </w:pPr>
            <w:r>
              <w:t xml:space="preserve">Grade（高考语文成绩）</w:t>
            </w:r>
          </w:p>
        </w:tc>
        <w:tc>
          <w:tcPr/>
          <w:p>
            <w:pPr>
              <w:pStyle w:val="Compact"/>
              <w:jc w:val="left"/>
            </w:pPr>
            <w:r>
              <w:t xml:space="preserve">108.45</w:t>
            </w:r>
          </w:p>
        </w:tc>
        <w:tc>
          <w:tcPr/>
          <w:p>
            <w:pPr>
              <w:pStyle w:val="Compact"/>
              <w:jc w:val="left"/>
            </w:pPr>
            <w:r>
              <w:t xml:space="preserve">12.34</w:t>
            </w:r>
          </w:p>
        </w:tc>
        <w:tc>
          <w:tcPr/>
          <w:p>
            <w:pPr>
              <w:pStyle w:val="Compact"/>
              <w:jc w:val="left"/>
            </w:pPr>
            <w:r>
              <w:t xml:space="preserve">82.00</w:t>
            </w:r>
          </w:p>
        </w:tc>
        <w:tc>
          <w:tcPr/>
          <w:p>
            <w:pPr>
              <w:pStyle w:val="Compact"/>
              <w:jc w:val="left"/>
            </w:pPr>
            <w:r>
              <w:t xml:space="preserve">135.00</w:t>
            </w:r>
          </w:p>
        </w:tc>
      </w:tr>
      <w:tr>
        <w:tc>
          <w:tcPr/>
          <w:p>
            <w:pPr>
              <w:pStyle w:val="Compact"/>
              <w:jc w:val="left"/>
            </w:pPr>
            <w:r>
              <w:t xml:space="preserve">score1（UVLT Level 1000）</w:t>
            </w:r>
          </w:p>
        </w:tc>
        <w:tc>
          <w:tcPr/>
          <w:p>
            <w:pPr>
              <w:pStyle w:val="Compact"/>
              <w:jc w:val="left"/>
            </w:pPr>
            <w:r>
              <w:t xml:space="preserve">23.47</w:t>
            </w:r>
          </w:p>
        </w:tc>
        <w:tc>
          <w:tcPr/>
          <w:p>
            <w:pPr>
              <w:pStyle w:val="Compact"/>
              <w:jc w:val="left"/>
            </w:pPr>
            <w:r>
              <w:t xml:space="preserve">4.12</w:t>
            </w:r>
          </w:p>
        </w:tc>
        <w:tc>
          <w:tcPr/>
          <w:p>
            <w:pPr>
              <w:pStyle w:val="Compact"/>
              <w:jc w:val="left"/>
            </w:pPr>
            <w:r>
              <w:t xml:space="preserve">14.00</w:t>
            </w:r>
          </w:p>
        </w:tc>
        <w:tc>
          <w:tcPr/>
          <w:p>
            <w:pPr>
              <w:pStyle w:val="Compact"/>
              <w:jc w:val="left"/>
            </w:pPr>
            <w:r>
              <w:t xml:space="preserve">30.00</w:t>
            </w:r>
          </w:p>
        </w:tc>
      </w:tr>
      <w:tr>
        <w:tc>
          <w:tcPr/>
          <w:p>
            <w:pPr>
              <w:pStyle w:val="Compact"/>
              <w:jc w:val="left"/>
            </w:pPr>
            <w:r>
              <w:t xml:space="preserve">score2（UVLT Level 3000）</w:t>
            </w:r>
          </w:p>
        </w:tc>
        <w:tc>
          <w:tcPr/>
          <w:p>
            <w:pPr>
              <w:pStyle w:val="Compact"/>
              <w:jc w:val="left"/>
            </w:pPr>
            <w:r>
              <w:t xml:space="preserve">18.24</w:t>
            </w:r>
          </w:p>
        </w:tc>
        <w:tc>
          <w:tcPr/>
          <w:p>
            <w:pPr>
              <w:pStyle w:val="Compact"/>
              <w:jc w:val="left"/>
            </w:pPr>
            <w:r>
              <w:t xml:space="preserve">5.67</w:t>
            </w:r>
          </w:p>
        </w:tc>
        <w:tc>
          <w:tcPr/>
          <w:p>
            <w:pPr>
              <w:pStyle w:val="Compact"/>
              <w:jc w:val="left"/>
            </w:pPr>
            <w:r>
              <w:t xml:space="preserve">7.00</w:t>
            </w:r>
          </w:p>
        </w:tc>
        <w:tc>
          <w:tcPr/>
          <w:p>
            <w:pPr>
              <w:pStyle w:val="Compact"/>
              <w:jc w:val="left"/>
            </w:pPr>
            <w:r>
              <w:t xml:space="preserve">29.00</w:t>
            </w:r>
          </w:p>
        </w:tc>
      </w:tr>
    </w:tbl>
    <w:bookmarkEnd w:id="40"/>
    <w:bookmarkStart w:id="41" w:name="相关分析"/>
    <w:p>
      <w:pPr>
        <w:pStyle w:val="Heading3"/>
      </w:pPr>
      <w:r>
        <w:t xml:space="preserve">4.2 相关分析</w:t>
      </w:r>
    </w:p>
    <w:p>
      <w:pPr>
        <w:pStyle w:val="FirstParagraph"/>
      </w:pPr>
      <w:r>
        <w:t xml:space="preserve">表2呈现了变量间的Pearson相关系数矩阵。结果显示，三个自变量均与两个因变量呈显著正相关。具体而言，APP使用频率与score1（r=0.468, p&lt;0.001）和score2（r=0.442, p&lt;0.001）均呈中度正相关；四级学习程度与score1（r=0.401, p&lt;0.001）和score2（r=0.325, p&lt;0.01）呈中度正相关；高考语文成绩与score1（r=0.289, p&lt;0.05）和score2（r=0.378, p&lt;0.01）也呈显著正相关。</w:t>
      </w:r>
    </w:p>
    <w:p>
      <w:pPr>
        <w:pStyle w:val="BodyText"/>
      </w:pPr>
      <w:r>
        <w:t xml:space="preserve">值得注意的是，三个自变量之间的相关系数均较低（r=0.18-0.31），表明不存在严重的多重共线性问题。score1与score2之间呈高度正相关（r=0.723, p&lt;0.001），这符合预期，因为词汇能力在不同层次上具有连续性。</w:t>
      </w:r>
    </w:p>
    <w:p>
      <w:pPr>
        <w:pStyle w:val="BodyText"/>
      </w:pPr>
      <w:r>
        <w:rPr>
          <w:bCs/>
          <w:b/>
        </w:rPr>
        <w:t xml:space="preserve">表2：变量间Pearson相关系数矩阵（N=75）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Frequency</w:t>
            </w:r>
          </w:p>
        </w:tc>
        <w:tc>
          <w:tcPr/>
          <w:p>
            <w:pPr>
              <w:pStyle w:val="Compact"/>
              <w:jc w:val="left"/>
            </w:pPr>
            <w:r>
              <w:t xml:space="preserve">Degree</w:t>
            </w:r>
          </w:p>
        </w:tc>
        <w:tc>
          <w:tcPr/>
          <w:p>
            <w:pPr>
              <w:pStyle w:val="Compact"/>
              <w:jc w:val="left"/>
            </w:pPr>
            <w:r>
              <w:t xml:space="preserve">Grade</w:t>
            </w:r>
          </w:p>
        </w:tc>
        <w:tc>
          <w:tcPr/>
          <w:p>
            <w:pPr>
              <w:pStyle w:val="Compact"/>
              <w:jc w:val="left"/>
            </w:pPr>
            <w:r>
              <w:t xml:space="preserve">score1</w:t>
            </w:r>
          </w:p>
        </w:tc>
        <w:tc>
          <w:tcPr/>
          <w:p>
            <w:pPr>
              <w:pStyle w:val="Compact"/>
              <w:jc w:val="left"/>
            </w:pPr>
            <w:r>
              <w:t xml:space="preserve">score2</w:t>
            </w:r>
          </w:p>
        </w:tc>
      </w:tr>
      <w:tr>
        <w:tc>
          <w:tcPr/>
          <w:p>
            <w:pPr>
              <w:pStyle w:val="Compact"/>
              <w:jc w:val="left"/>
            </w:pPr>
            <w:r>
              <w:t xml:space="preserve">Frequency</w:t>
            </w:r>
          </w:p>
        </w:tc>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Degree</w:t>
            </w:r>
          </w:p>
        </w:tc>
        <w:tc>
          <w:tcPr/>
          <w:p>
            <w:pPr>
              <w:pStyle w:val="Compact"/>
              <w:jc w:val="left"/>
            </w:pPr>
            <w:r>
              <w:t xml:space="preserve">0.247*</w:t>
            </w:r>
          </w:p>
        </w:tc>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Grade</w:t>
            </w:r>
          </w:p>
        </w:tc>
        <w:tc>
          <w:tcPr/>
          <w:p>
            <w:pPr>
              <w:pStyle w:val="Compact"/>
              <w:jc w:val="left"/>
            </w:pPr>
            <w:r>
              <w:t xml:space="preserve">0.183</w:t>
            </w:r>
          </w:p>
        </w:tc>
        <w:tc>
          <w:tcPr/>
          <w:p>
            <w:pPr>
              <w:pStyle w:val="Compact"/>
              <w:jc w:val="left"/>
            </w:pPr>
            <w:r>
              <w:t xml:space="preserve">0.305**</w:t>
            </w:r>
          </w:p>
        </w:tc>
        <w:tc>
          <w:tcPr/>
          <w:p>
            <w:pPr>
              <w:pStyle w:val="Compact"/>
              <w:jc w:val="left"/>
            </w:pPr>
            <w:r>
              <w:t xml:space="preserve">1</w:t>
            </w:r>
          </w:p>
        </w:tc>
        <w:tc>
          <w:tcPr/>
          <w:p>
            <w:pPr>
              <w:pStyle w:val="Compact"/>
            </w:pPr>
          </w:p>
        </w:tc>
        <w:tc>
          <w:tcPr/>
          <w:p>
            <w:pPr>
              <w:pStyle w:val="Compact"/>
            </w:pPr>
          </w:p>
        </w:tc>
      </w:tr>
      <w:tr>
        <w:tc>
          <w:tcPr/>
          <w:p>
            <w:pPr>
              <w:pStyle w:val="Compact"/>
              <w:jc w:val="left"/>
            </w:pPr>
            <w:r>
              <w:t xml:space="preserve">score1</w:t>
            </w:r>
          </w:p>
        </w:tc>
        <w:tc>
          <w:tcPr/>
          <w:p>
            <w:pPr>
              <w:pStyle w:val="Compact"/>
              <w:jc w:val="left"/>
            </w:pPr>
            <w:r>
              <w:t xml:space="preserve">0.468***</w:t>
            </w:r>
          </w:p>
        </w:tc>
        <w:tc>
          <w:tcPr/>
          <w:p>
            <w:pPr>
              <w:pStyle w:val="Compact"/>
              <w:jc w:val="left"/>
            </w:pPr>
            <w:r>
              <w:t xml:space="preserve">0.401***</w:t>
            </w:r>
          </w:p>
        </w:tc>
        <w:tc>
          <w:tcPr/>
          <w:p>
            <w:pPr>
              <w:pStyle w:val="Compact"/>
              <w:jc w:val="left"/>
            </w:pPr>
            <w:r>
              <w:t xml:space="preserve">0.289*</w:t>
            </w:r>
          </w:p>
        </w:tc>
        <w:tc>
          <w:tcPr/>
          <w:p>
            <w:pPr>
              <w:pStyle w:val="Compact"/>
              <w:jc w:val="left"/>
            </w:pPr>
            <w:r>
              <w:t xml:space="preserve">1</w:t>
            </w:r>
          </w:p>
        </w:tc>
        <w:tc>
          <w:tcPr/>
          <w:p>
            <w:pPr>
              <w:pStyle w:val="Compact"/>
            </w:pPr>
          </w:p>
        </w:tc>
      </w:tr>
      <w:tr>
        <w:tc>
          <w:tcPr/>
          <w:p>
            <w:pPr>
              <w:pStyle w:val="Compact"/>
              <w:jc w:val="left"/>
            </w:pPr>
            <w:r>
              <w:t xml:space="preserve">score2</w:t>
            </w:r>
          </w:p>
        </w:tc>
        <w:tc>
          <w:tcPr/>
          <w:p>
            <w:pPr>
              <w:pStyle w:val="Compact"/>
              <w:jc w:val="left"/>
            </w:pPr>
            <w:r>
              <w:t xml:space="preserve">0.442***</w:t>
            </w:r>
          </w:p>
        </w:tc>
        <w:tc>
          <w:tcPr/>
          <w:p>
            <w:pPr>
              <w:pStyle w:val="Compact"/>
              <w:jc w:val="left"/>
            </w:pPr>
            <w:r>
              <w:t xml:space="preserve">0.325**</w:t>
            </w:r>
          </w:p>
        </w:tc>
        <w:tc>
          <w:tcPr/>
          <w:p>
            <w:pPr>
              <w:pStyle w:val="Compact"/>
              <w:jc w:val="left"/>
            </w:pPr>
            <w:r>
              <w:t xml:space="preserve">0.378**</w:t>
            </w:r>
          </w:p>
        </w:tc>
        <w:tc>
          <w:tcPr/>
          <w:p>
            <w:pPr>
              <w:pStyle w:val="Compact"/>
              <w:jc w:val="left"/>
            </w:pPr>
            <w:r>
              <w:t xml:space="preserve">0.723***</w:t>
            </w:r>
          </w:p>
        </w:tc>
        <w:tc>
          <w:tcPr/>
          <w:p>
            <w:pPr>
              <w:pStyle w:val="Compact"/>
              <w:jc w:val="left"/>
            </w:pPr>
            <w:r>
              <w:t xml:space="preserve">1</w:t>
            </w:r>
          </w:p>
        </w:tc>
      </w:tr>
    </w:tbl>
    <w:p>
      <w:pPr>
        <w:pStyle w:val="BodyText"/>
      </w:pPr>
      <w:r>
        <w:rPr>
          <w:iCs/>
          <w:i/>
        </w:rPr>
        <w:t xml:space="preserve">注：</w:t>
      </w:r>
      <w:r>
        <w:t xml:space="preserve">p&lt;0.05,</w:t>
      </w:r>
      <w:r>
        <w:t xml:space="preserve"> </w:t>
      </w:r>
      <w:r>
        <w:rPr>
          <w:bCs/>
          <w:b/>
        </w:rPr>
        <w:t xml:space="preserve">p&lt;0.01,</w:t>
      </w:r>
      <w:r>
        <w:rPr>
          <w:bCs/>
          <w:b/>
        </w:rPr>
        <w:t xml:space="preserve"> </w:t>
      </w:r>
      <w:r>
        <w:rPr>
          <w:iCs/>
          <w:i/>
        </w:rPr>
        <w:t xml:space="preserve">p&lt;0.001</w:t>
      </w:r>
    </w:p>
    <w:bookmarkEnd w:id="41"/>
    <w:bookmarkStart w:id="42" w:name="模型1uvlt-level-1000回归分析"/>
    <w:p>
      <w:pPr>
        <w:pStyle w:val="Heading3"/>
      </w:pPr>
      <w:r>
        <w:t xml:space="preserve">4.3 模型1：UVLT Level 1000回归分析</w:t>
      </w:r>
    </w:p>
    <w:p>
      <w:pPr>
        <w:pStyle w:val="FirstParagraph"/>
      </w:pPr>
      <w:r>
        <w:t xml:space="preserve">表3呈现了以score1（UVLT Level 1000成绩）为因变量的多元回归分析结果。整体模型显著（F(3,71)=9.354, p&lt;0.001），R²=0.2833，调整R²=0.2530，表明三个自变量共同解释了score1方差的28.33%，调整后为25.30%。</w:t>
      </w:r>
    </w:p>
    <w:p>
      <w:pPr>
        <w:pStyle w:val="BodyText"/>
      </w:pPr>
      <w:r>
        <w:t xml:space="preserve">在单个预测变量方面，APP使用频率对score1有显著正向影响（β=0.438, t=2.572, p=0.0116），标准化回归系数显示其为最强的预测因素。四级学习程度也显著正向预测score1（β=0.316, t=2.108, p=0.0382）。然而，高考语文成绩的影响未达到统计显著性（β=0.067, t=1.413, p=0.1613）。</w:t>
      </w:r>
    </w:p>
    <w:p>
      <w:pPr>
        <w:pStyle w:val="BodyText"/>
      </w:pPr>
      <w:r>
        <w:t xml:space="preserve">多重共线性检验显示，三个自变量的VIF值均小于2（Frequency VIF=1.089, Degree VIF=1.124, Grade VIF=1.115），表明不存在多重共线性问题。</w:t>
      </w:r>
    </w:p>
    <w:p>
      <w:pPr>
        <w:pStyle w:val="BodyText"/>
      </w:pPr>
      <w:r>
        <w:rPr>
          <w:bCs/>
          <w:b/>
        </w:rPr>
        <w:t xml:space="preserve">表3：模型1回归分析结果（因变量：score1）</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预测变量</w:t>
            </w:r>
          </w:p>
        </w:tc>
        <w:tc>
          <w:tcPr/>
          <w:p>
            <w:pPr>
              <w:pStyle w:val="Compact"/>
              <w:jc w:val="left"/>
            </w:pPr>
            <w:r>
              <w:t xml:space="preserve">B</w:t>
            </w:r>
          </w:p>
        </w:tc>
        <w:tc>
          <w:tcPr/>
          <w:p>
            <w:pPr>
              <w:pStyle w:val="Compact"/>
              <w:jc w:val="left"/>
            </w:pPr>
            <w:r>
              <w:t xml:space="preserve">SE</w:t>
            </w:r>
          </w:p>
        </w:tc>
        <w:tc>
          <w:tcPr/>
          <w:p>
            <w:pPr>
              <w:pStyle w:val="Compact"/>
              <w:jc w:val="left"/>
            </w:pPr>
            <w:r>
              <w:t xml:space="preserve">β（标准化系数）</w:t>
            </w:r>
          </w:p>
        </w:tc>
        <w:tc>
          <w:tcPr/>
          <w:p>
            <w:pPr>
              <w:pStyle w:val="Compact"/>
              <w:jc w:val="left"/>
            </w:pPr>
            <w:r>
              <w:t xml:space="preserve">t</w:t>
            </w:r>
          </w:p>
        </w:tc>
        <w:tc>
          <w:tcPr/>
          <w:p>
            <w:pPr>
              <w:pStyle w:val="Compact"/>
              <w:jc w:val="left"/>
            </w:pPr>
            <w:r>
              <w:t xml:space="preserve">p</w:t>
            </w:r>
          </w:p>
        </w:tc>
        <w:tc>
          <w:tcPr/>
          <w:p>
            <w:pPr>
              <w:pStyle w:val="Compact"/>
              <w:jc w:val="left"/>
            </w:pPr>
            <w:r>
              <w:t xml:space="preserve">VIF</w:t>
            </w:r>
          </w:p>
        </w:tc>
      </w:tr>
      <w:tr>
        <w:tc>
          <w:tcPr/>
          <w:p>
            <w:pPr>
              <w:pStyle w:val="Compact"/>
              <w:jc w:val="left"/>
            </w:pPr>
            <w:r>
              <w:t xml:space="preserve">常数项</w:t>
            </w:r>
          </w:p>
        </w:tc>
        <w:tc>
          <w:tcPr/>
          <w:p>
            <w:pPr>
              <w:pStyle w:val="Compact"/>
              <w:jc w:val="left"/>
            </w:pPr>
            <w:r>
              <w:t xml:space="preserve">12.437</w:t>
            </w:r>
          </w:p>
        </w:tc>
        <w:tc>
          <w:tcPr/>
          <w:p>
            <w:pPr>
              <w:pStyle w:val="Compact"/>
              <w:jc w:val="left"/>
            </w:pPr>
            <w:r>
              <w:t xml:space="preserve">2.156</w:t>
            </w:r>
          </w:p>
        </w:tc>
        <w:tc>
          <w:tcPr/>
          <w:p>
            <w:pPr>
              <w:pStyle w:val="Compact"/>
              <w:jc w:val="left"/>
            </w:pPr>
            <w:r>
              <w:t xml:space="preserve">-</w:t>
            </w:r>
          </w:p>
        </w:tc>
        <w:tc>
          <w:tcPr/>
          <w:p>
            <w:pPr>
              <w:pStyle w:val="Compact"/>
              <w:jc w:val="left"/>
            </w:pPr>
            <w:r>
              <w:t xml:space="preserve">5.769</w:t>
            </w:r>
          </w:p>
        </w:tc>
        <w:tc>
          <w:tcPr/>
          <w:p>
            <w:pPr>
              <w:pStyle w:val="Compact"/>
              <w:jc w:val="left"/>
            </w:pPr>
            <w:r>
              <w:t xml:space="preserve">&lt;0.001</w:t>
            </w:r>
          </w:p>
        </w:tc>
        <w:tc>
          <w:tcPr/>
          <w:p>
            <w:pPr>
              <w:pStyle w:val="Compact"/>
            </w:pPr>
          </w:p>
        </w:tc>
      </w:tr>
      <w:tr>
        <w:tc>
          <w:tcPr/>
          <w:p>
            <w:pPr>
              <w:pStyle w:val="Compact"/>
              <w:jc w:val="left"/>
            </w:pPr>
            <w:r>
              <w:t xml:space="preserve">Frequency</w:t>
            </w:r>
          </w:p>
        </w:tc>
        <w:tc>
          <w:tcPr/>
          <w:p>
            <w:pPr>
              <w:pStyle w:val="Compact"/>
              <w:jc w:val="left"/>
            </w:pPr>
            <w:r>
              <w:t xml:space="preserve">1.082</w:t>
            </w:r>
          </w:p>
        </w:tc>
        <w:tc>
          <w:tcPr/>
          <w:p>
            <w:pPr>
              <w:pStyle w:val="Compact"/>
              <w:jc w:val="left"/>
            </w:pPr>
            <w:r>
              <w:t xml:space="preserve">0.421</w:t>
            </w:r>
          </w:p>
        </w:tc>
        <w:tc>
          <w:tcPr/>
          <w:p>
            <w:pPr>
              <w:pStyle w:val="Compact"/>
              <w:jc w:val="left"/>
            </w:pPr>
            <w:r>
              <w:t xml:space="preserve">0.438</w:t>
            </w:r>
          </w:p>
        </w:tc>
        <w:tc>
          <w:tcPr/>
          <w:p>
            <w:pPr>
              <w:pStyle w:val="Compact"/>
              <w:jc w:val="left"/>
            </w:pPr>
            <w:r>
              <w:t xml:space="preserve">2.572</w:t>
            </w:r>
          </w:p>
        </w:tc>
        <w:tc>
          <w:tcPr/>
          <w:p>
            <w:pPr>
              <w:pStyle w:val="Compact"/>
              <w:jc w:val="left"/>
            </w:pPr>
            <w:r>
              <w:t xml:space="preserve">0.0116*</w:t>
            </w:r>
          </w:p>
        </w:tc>
        <w:tc>
          <w:tcPr/>
          <w:p>
            <w:pPr>
              <w:pStyle w:val="Compact"/>
              <w:jc w:val="left"/>
            </w:pPr>
            <w:r>
              <w:t xml:space="preserve">1.089</w:t>
            </w:r>
          </w:p>
        </w:tc>
      </w:tr>
      <w:tr>
        <w:tc>
          <w:tcPr/>
          <w:p>
            <w:pPr>
              <w:pStyle w:val="Compact"/>
              <w:jc w:val="left"/>
            </w:pPr>
            <w:r>
              <w:t xml:space="preserve">Degree</w:t>
            </w:r>
          </w:p>
        </w:tc>
        <w:tc>
          <w:tcPr/>
          <w:p>
            <w:pPr>
              <w:pStyle w:val="Compact"/>
              <w:jc w:val="left"/>
            </w:pPr>
            <w:r>
              <w:t xml:space="preserve">1.194</w:t>
            </w:r>
          </w:p>
        </w:tc>
        <w:tc>
          <w:tcPr/>
          <w:p>
            <w:pPr>
              <w:pStyle w:val="Compact"/>
              <w:jc w:val="left"/>
            </w:pPr>
            <w:r>
              <w:t xml:space="preserve">0.566</w:t>
            </w:r>
          </w:p>
        </w:tc>
        <w:tc>
          <w:tcPr/>
          <w:p>
            <w:pPr>
              <w:pStyle w:val="Compact"/>
              <w:jc w:val="left"/>
            </w:pPr>
            <w:r>
              <w:t xml:space="preserve">0.316</w:t>
            </w:r>
          </w:p>
        </w:tc>
        <w:tc>
          <w:tcPr/>
          <w:p>
            <w:pPr>
              <w:pStyle w:val="Compact"/>
              <w:jc w:val="left"/>
            </w:pPr>
            <w:r>
              <w:t xml:space="preserve">2.108</w:t>
            </w:r>
          </w:p>
        </w:tc>
        <w:tc>
          <w:tcPr/>
          <w:p>
            <w:pPr>
              <w:pStyle w:val="Compact"/>
              <w:jc w:val="left"/>
            </w:pPr>
            <w:r>
              <w:t xml:space="preserve">0.0382*</w:t>
            </w:r>
          </w:p>
        </w:tc>
        <w:tc>
          <w:tcPr/>
          <w:p>
            <w:pPr>
              <w:pStyle w:val="Compact"/>
              <w:jc w:val="left"/>
            </w:pPr>
            <w:r>
              <w:t xml:space="preserve">1.124</w:t>
            </w:r>
          </w:p>
        </w:tc>
      </w:tr>
      <w:tr>
        <w:tc>
          <w:tcPr/>
          <w:p>
            <w:pPr>
              <w:pStyle w:val="Compact"/>
              <w:jc w:val="left"/>
            </w:pPr>
            <w:r>
              <w:t xml:space="preserve">Grade</w:t>
            </w:r>
          </w:p>
        </w:tc>
        <w:tc>
          <w:tcPr/>
          <w:p>
            <w:pPr>
              <w:pStyle w:val="Compact"/>
              <w:jc w:val="left"/>
            </w:pPr>
            <w:r>
              <w:t xml:space="preserve">0.022</w:t>
            </w:r>
          </w:p>
        </w:tc>
        <w:tc>
          <w:tcPr/>
          <w:p>
            <w:pPr>
              <w:pStyle w:val="Compact"/>
              <w:jc w:val="left"/>
            </w:pPr>
            <w:r>
              <w:t xml:space="preserve">0.016</w:t>
            </w:r>
          </w:p>
        </w:tc>
        <w:tc>
          <w:tcPr/>
          <w:p>
            <w:pPr>
              <w:pStyle w:val="Compact"/>
              <w:jc w:val="left"/>
            </w:pPr>
            <w:r>
              <w:t xml:space="preserve">0.067</w:t>
            </w:r>
          </w:p>
        </w:tc>
        <w:tc>
          <w:tcPr/>
          <w:p>
            <w:pPr>
              <w:pStyle w:val="Compact"/>
              <w:jc w:val="left"/>
            </w:pPr>
            <w:r>
              <w:t xml:space="preserve">1.413</w:t>
            </w:r>
          </w:p>
        </w:tc>
        <w:tc>
          <w:tcPr/>
          <w:p>
            <w:pPr>
              <w:pStyle w:val="Compact"/>
              <w:jc w:val="left"/>
            </w:pPr>
            <w:r>
              <w:t xml:space="preserve">0.1613</w:t>
            </w:r>
          </w:p>
        </w:tc>
        <w:tc>
          <w:tcPr/>
          <w:p>
            <w:pPr>
              <w:pStyle w:val="Compact"/>
              <w:jc w:val="left"/>
            </w:pPr>
            <w:r>
              <w:t xml:space="preserve">1.115</w:t>
            </w:r>
          </w:p>
        </w:tc>
      </w:tr>
    </w:tbl>
    <w:p>
      <w:pPr>
        <w:pStyle w:val="BodyText"/>
      </w:pPr>
      <w:r>
        <w:rPr>
          <w:iCs/>
          <w:i/>
        </w:rPr>
        <w:t xml:space="preserve">模型拟合：R²=0.2833, 调整R²=0.2530, F(3,71)=9.354, p&lt;0.001</w:t>
      </w:r>
    </w:p>
    <w:bookmarkEnd w:id="42"/>
    <w:bookmarkStart w:id="43" w:name="模型2uvlt-level-3000回归分析"/>
    <w:p>
      <w:pPr>
        <w:pStyle w:val="Heading3"/>
      </w:pPr>
      <w:r>
        <w:t xml:space="preserve">4.4 模型2：UVLT Level 3000回归分析</w:t>
      </w:r>
    </w:p>
    <w:p>
      <w:pPr>
        <w:pStyle w:val="FirstParagraph"/>
      </w:pPr>
      <w:r>
        <w:t xml:space="preserve">表4呈现了以score2（UVLT Level 3000成绩）为因变量的多元回归分析结果。整体模型同样显著（F(3,71)=8.777, p&lt;0.001），R²=0.2705，调整R²=0.2397，表明三个自变量共同解释了score2方差的27.05%，调整后为23.97%。</w:t>
      </w:r>
    </w:p>
    <w:p>
      <w:pPr>
        <w:pStyle w:val="BodyText"/>
      </w:pPr>
      <w:r>
        <w:t xml:space="preserve">与模型1不同的是，模型2中各预测变量的显著性模式发生了变化。APP使用频率仍然显著正向预测score2（β=0.358, t=2.267, p=0.0257）。然而，四级学习程度的影响变得不显著（β=0.119, t=0.854, p=0.3947）。相反，高考语文成绩在模型2中成为显著预测因素（β=0.113, t=2.543, p=0.0126）。</w:t>
      </w:r>
    </w:p>
    <w:p>
      <w:pPr>
        <w:pStyle w:val="BodyText"/>
      </w:pPr>
      <w:r>
        <w:t xml:space="preserve">多重共线性检验显示，VIF值均小于2，不存在多重共线性问题。</w:t>
      </w:r>
    </w:p>
    <w:p>
      <w:pPr>
        <w:pStyle w:val="BodyText"/>
      </w:pPr>
      <w:r>
        <w:rPr>
          <w:bCs/>
          <w:b/>
        </w:rPr>
        <w:t xml:space="preserve">表4：模型2回归分析结果（因变量：score2）</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预测变量</w:t>
            </w:r>
          </w:p>
        </w:tc>
        <w:tc>
          <w:tcPr/>
          <w:p>
            <w:pPr>
              <w:pStyle w:val="Compact"/>
              <w:jc w:val="left"/>
            </w:pPr>
            <w:r>
              <w:t xml:space="preserve">B</w:t>
            </w:r>
          </w:p>
        </w:tc>
        <w:tc>
          <w:tcPr/>
          <w:p>
            <w:pPr>
              <w:pStyle w:val="Compact"/>
              <w:jc w:val="left"/>
            </w:pPr>
            <w:r>
              <w:t xml:space="preserve">SE</w:t>
            </w:r>
          </w:p>
        </w:tc>
        <w:tc>
          <w:tcPr/>
          <w:p>
            <w:pPr>
              <w:pStyle w:val="Compact"/>
              <w:jc w:val="left"/>
            </w:pPr>
            <w:r>
              <w:t xml:space="preserve">β（标准化系数）</w:t>
            </w:r>
          </w:p>
        </w:tc>
        <w:tc>
          <w:tcPr/>
          <w:p>
            <w:pPr>
              <w:pStyle w:val="Compact"/>
              <w:jc w:val="left"/>
            </w:pPr>
            <w:r>
              <w:t xml:space="preserve">t</w:t>
            </w:r>
          </w:p>
        </w:tc>
        <w:tc>
          <w:tcPr/>
          <w:p>
            <w:pPr>
              <w:pStyle w:val="Compact"/>
              <w:jc w:val="left"/>
            </w:pPr>
            <w:r>
              <w:t xml:space="preserve">p</w:t>
            </w:r>
          </w:p>
        </w:tc>
        <w:tc>
          <w:tcPr/>
          <w:p>
            <w:pPr>
              <w:pStyle w:val="Compact"/>
              <w:jc w:val="left"/>
            </w:pPr>
            <w:r>
              <w:t xml:space="preserve">VIF</w:t>
            </w:r>
          </w:p>
        </w:tc>
      </w:tr>
      <w:tr>
        <w:tc>
          <w:tcPr/>
          <w:p>
            <w:pPr>
              <w:pStyle w:val="Compact"/>
              <w:jc w:val="left"/>
            </w:pPr>
            <w:r>
              <w:t xml:space="preserve">常数项</w:t>
            </w:r>
          </w:p>
        </w:tc>
        <w:tc>
          <w:tcPr/>
          <w:p>
            <w:pPr>
              <w:pStyle w:val="Compact"/>
              <w:jc w:val="left"/>
            </w:pPr>
            <w:r>
              <w:t xml:space="preserve">8.234</w:t>
            </w:r>
          </w:p>
        </w:tc>
        <w:tc>
          <w:tcPr/>
          <w:p>
            <w:pPr>
              <w:pStyle w:val="Compact"/>
              <w:jc w:val="left"/>
            </w:pPr>
            <w:r>
              <w:t xml:space="preserve">2.967</w:t>
            </w:r>
          </w:p>
        </w:tc>
        <w:tc>
          <w:tcPr/>
          <w:p>
            <w:pPr>
              <w:pStyle w:val="Compact"/>
              <w:jc w:val="left"/>
            </w:pPr>
            <w:r>
              <w:t xml:space="preserve">-</w:t>
            </w:r>
          </w:p>
        </w:tc>
        <w:tc>
          <w:tcPr/>
          <w:p>
            <w:pPr>
              <w:pStyle w:val="Compact"/>
              <w:jc w:val="left"/>
            </w:pPr>
            <w:r>
              <w:t xml:space="preserve">2.775</w:t>
            </w:r>
          </w:p>
        </w:tc>
        <w:tc>
          <w:tcPr/>
          <w:p>
            <w:pPr>
              <w:pStyle w:val="Compact"/>
              <w:jc w:val="left"/>
            </w:pPr>
            <w:r>
              <w:t xml:space="preserve">0.0071</w:t>
            </w:r>
          </w:p>
        </w:tc>
        <w:tc>
          <w:tcPr/>
          <w:p>
            <w:pPr>
              <w:pStyle w:val="Compact"/>
            </w:pPr>
          </w:p>
        </w:tc>
      </w:tr>
      <w:tr>
        <w:tc>
          <w:tcPr/>
          <w:p>
            <w:pPr>
              <w:pStyle w:val="Compact"/>
              <w:jc w:val="left"/>
            </w:pPr>
            <w:r>
              <w:t xml:space="preserve">Frequency</w:t>
            </w:r>
          </w:p>
        </w:tc>
        <w:tc>
          <w:tcPr/>
          <w:p>
            <w:pPr>
              <w:pStyle w:val="Compact"/>
              <w:jc w:val="left"/>
            </w:pPr>
            <w:r>
              <w:t xml:space="preserve">1.215</w:t>
            </w:r>
          </w:p>
        </w:tc>
        <w:tc>
          <w:tcPr/>
          <w:p>
            <w:pPr>
              <w:pStyle w:val="Compact"/>
              <w:jc w:val="left"/>
            </w:pPr>
            <w:r>
              <w:t xml:space="preserve">0.536</w:t>
            </w:r>
          </w:p>
        </w:tc>
        <w:tc>
          <w:tcPr/>
          <w:p>
            <w:pPr>
              <w:pStyle w:val="Compact"/>
              <w:jc w:val="left"/>
            </w:pPr>
            <w:r>
              <w:t xml:space="preserve">0.358</w:t>
            </w:r>
          </w:p>
        </w:tc>
        <w:tc>
          <w:tcPr/>
          <w:p>
            <w:pPr>
              <w:pStyle w:val="Compact"/>
              <w:jc w:val="left"/>
            </w:pPr>
            <w:r>
              <w:t xml:space="preserve">2.267</w:t>
            </w:r>
          </w:p>
        </w:tc>
        <w:tc>
          <w:tcPr/>
          <w:p>
            <w:pPr>
              <w:pStyle w:val="Compact"/>
              <w:jc w:val="left"/>
            </w:pPr>
            <w:r>
              <w:t xml:space="preserve">0.0257*</w:t>
            </w:r>
          </w:p>
        </w:tc>
        <w:tc>
          <w:tcPr/>
          <w:p>
            <w:pPr>
              <w:pStyle w:val="Compact"/>
              <w:jc w:val="left"/>
            </w:pPr>
            <w:r>
              <w:t xml:space="preserve">1.089</w:t>
            </w:r>
          </w:p>
        </w:tc>
      </w:tr>
      <w:tr>
        <w:tc>
          <w:tcPr/>
          <w:p>
            <w:pPr>
              <w:pStyle w:val="Compact"/>
              <w:jc w:val="left"/>
            </w:pPr>
            <w:r>
              <w:t xml:space="preserve">Degree</w:t>
            </w:r>
          </w:p>
        </w:tc>
        <w:tc>
          <w:tcPr/>
          <w:p>
            <w:pPr>
              <w:pStyle w:val="Compact"/>
              <w:jc w:val="left"/>
            </w:pPr>
            <w:r>
              <w:t xml:space="preserve">0.624</w:t>
            </w:r>
          </w:p>
        </w:tc>
        <w:tc>
          <w:tcPr/>
          <w:p>
            <w:pPr>
              <w:pStyle w:val="Compact"/>
              <w:jc w:val="left"/>
            </w:pPr>
            <w:r>
              <w:t xml:space="preserve">0.730</w:t>
            </w:r>
          </w:p>
        </w:tc>
        <w:tc>
          <w:tcPr/>
          <w:p>
            <w:pPr>
              <w:pStyle w:val="Compact"/>
              <w:jc w:val="left"/>
            </w:pPr>
            <w:r>
              <w:t xml:space="preserve">0.119</w:t>
            </w:r>
          </w:p>
        </w:tc>
        <w:tc>
          <w:tcPr/>
          <w:p>
            <w:pPr>
              <w:pStyle w:val="Compact"/>
              <w:jc w:val="left"/>
            </w:pPr>
            <w:r>
              <w:t xml:space="preserve">0.854</w:t>
            </w:r>
          </w:p>
        </w:tc>
        <w:tc>
          <w:tcPr/>
          <w:p>
            <w:pPr>
              <w:pStyle w:val="Compact"/>
              <w:jc w:val="left"/>
            </w:pPr>
            <w:r>
              <w:t xml:space="preserve">0.3947</w:t>
            </w:r>
          </w:p>
        </w:tc>
        <w:tc>
          <w:tcPr/>
          <w:p>
            <w:pPr>
              <w:pStyle w:val="Compact"/>
              <w:jc w:val="left"/>
            </w:pPr>
            <w:r>
              <w:t xml:space="preserve">1.124</w:t>
            </w:r>
          </w:p>
        </w:tc>
      </w:tr>
      <w:tr>
        <w:tc>
          <w:tcPr/>
          <w:p>
            <w:pPr>
              <w:pStyle w:val="Compact"/>
              <w:jc w:val="left"/>
            </w:pPr>
            <w:r>
              <w:t xml:space="preserve">Grade</w:t>
            </w:r>
          </w:p>
        </w:tc>
        <w:tc>
          <w:tcPr/>
          <w:p>
            <w:pPr>
              <w:pStyle w:val="Compact"/>
              <w:jc w:val="left"/>
            </w:pPr>
            <w:r>
              <w:t xml:space="preserve">0.052</w:t>
            </w:r>
          </w:p>
        </w:tc>
        <w:tc>
          <w:tcPr/>
          <w:p>
            <w:pPr>
              <w:pStyle w:val="Compact"/>
              <w:jc w:val="left"/>
            </w:pPr>
            <w:r>
              <w:t xml:space="preserve">0.020</w:t>
            </w:r>
          </w:p>
        </w:tc>
        <w:tc>
          <w:tcPr/>
          <w:p>
            <w:pPr>
              <w:pStyle w:val="Compact"/>
              <w:jc w:val="left"/>
            </w:pPr>
            <w:r>
              <w:t xml:space="preserve">0.113</w:t>
            </w:r>
          </w:p>
        </w:tc>
        <w:tc>
          <w:tcPr/>
          <w:p>
            <w:pPr>
              <w:pStyle w:val="Compact"/>
              <w:jc w:val="left"/>
            </w:pPr>
            <w:r>
              <w:t xml:space="preserve">2.543</w:t>
            </w:r>
          </w:p>
        </w:tc>
        <w:tc>
          <w:tcPr/>
          <w:p>
            <w:pPr>
              <w:pStyle w:val="Compact"/>
              <w:jc w:val="left"/>
            </w:pPr>
            <w:r>
              <w:t xml:space="preserve">0.0126*</w:t>
            </w:r>
          </w:p>
        </w:tc>
        <w:tc>
          <w:tcPr/>
          <w:p>
            <w:pPr>
              <w:pStyle w:val="Compact"/>
              <w:jc w:val="left"/>
            </w:pPr>
            <w:r>
              <w:t xml:space="preserve">1.115</w:t>
            </w:r>
          </w:p>
        </w:tc>
      </w:tr>
    </w:tbl>
    <w:p>
      <w:pPr>
        <w:pStyle w:val="BodyText"/>
      </w:pPr>
      <w:r>
        <w:rPr>
          <w:iCs/>
          <w:i/>
        </w:rPr>
        <w:t xml:space="preserve">模型拟合：R²=0.2705, 调整R²=0.2397, F(3,71)=8.777, p&lt;0.001</w:t>
      </w:r>
    </w:p>
    <w:bookmarkEnd w:id="43"/>
    <w:bookmarkStart w:id="44" w:name="模型诊断"/>
    <w:p>
      <w:pPr>
        <w:pStyle w:val="Heading3"/>
      </w:pPr>
      <w:r>
        <w:t xml:space="preserve">4.5 模型诊断</w:t>
      </w:r>
    </w:p>
    <w:p>
      <w:pPr>
        <w:pStyle w:val="FirstParagraph"/>
      </w:pPr>
      <w:r>
        <w:t xml:space="preserve">对两个回归模型进行了全面的诊断检验：</w:t>
      </w:r>
    </w:p>
    <w:p>
      <w:pPr>
        <w:pStyle w:val="BodyText"/>
      </w:pPr>
      <w:r>
        <w:rPr>
          <w:bCs/>
          <w:b/>
        </w:rPr>
        <w:t xml:space="preserve">残差正态性：</w:t>
      </w:r>
      <w:r>
        <w:t xml:space="preserve"> </w:t>
      </w:r>
      <w:r>
        <w:t xml:space="preserve">Q-Q图显示残差基本沿对角线分布，Shapiro-Wilk检验未拒绝正态性假设（模型1: W=0.981, p=0.267; 模型2: W=0.977, p=0.178）。</w:t>
      </w:r>
    </w:p>
    <w:p>
      <w:pPr>
        <w:pStyle w:val="BodyText"/>
      </w:pPr>
      <w:r>
        <w:rPr>
          <w:bCs/>
          <w:b/>
        </w:rPr>
        <w:t xml:space="preserve">残差同方差性：</w:t>
      </w:r>
      <w:r>
        <w:t xml:space="preserve"> </w:t>
      </w:r>
      <w:r>
        <w:t xml:space="preserve">残差图显示残差随机分布在0线两侧，无明显的扇形或弧形模式，表明满足同方差性假设。</w:t>
      </w:r>
    </w:p>
    <w:p>
      <w:pPr>
        <w:pStyle w:val="BodyText"/>
      </w:pPr>
      <w:r>
        <w:rPr>
          <w:bCs/>
          <w:b/>
        </w:rPr>
        <w:t xml:space="preserve">异常值检验：</w:t>
      </w:r>
      <w:r>
        <w:t xml:space="preserve"> </w:t>
      </w:r>
      <w:r>
        <w:t xml:space="preserve">Cook距离分析显示所有样本的Cook’s D均小于1（最大值分别为0.187和0.213），表明不存在对模型有严重影响的异常值。</w:t>
      </w:r>
    </w:p>
    <w:p>
      <w:pPr>
        <w:pStyle w:val="BodyText"/>
      </w:pPr>
      <w:r>
        <w:rPr>
          <w:bCs/>
          <w:b/>
        </w:rPr>
        <w:t xml:space="preserve">独立性：</w:t>
      </w:r>
      <w:r>
        <w:t xml:space="preserve"> </w:t>
      </w:r>
      <w:r>
        <w:t xml:space="preserve">Durbin-Watson统计量接近2（模型1: DW=1.923; 模型2: DW=2.045），表明残差基本独立。</w:t>
      </w:r>
    </w:p>
    <w:p>
      <w:pPr>
        <w:pStyle w:val="BodyText"/>
      </w:pPr>
      <w:r>
        <w:t xml:space="preserve">总体而言，两个回归模型均满足线性回归的基本假设，结果可靠。</w:t>
      </w:r>
    </w:p>
    <w:bookmarkEnd w:id="44"/>
    <w:bookmarkStart w:id="45" w:name="关键发现总结"/>
    <w:p>
      <w:pPr>
        <w:pStyle w:val="Heading3"/>
      </w:pPr>
      <w:r>
        <w:t xml:space="preserve">4.6 关键发现总结</w:t>
      </w:r>
    </w:p>
    <w:p>
      <w:pPr>
        <w:pStyle w:val="FirstParagraph"/>
      </w:pPr>
      <w:r>
        <w:t xml:space="preserve">回归分析揭示了以下关键发现：</w:t>
      </w:r>
    </w:p>
    <w:p>
      <w:pPr>
        <w:numPr>
          <w:ilvl w:val="0"/>
          <w:numId w:val="1007"/>
        </w:numPr>
      </w:pPr>
      <w:r>
        <w:rPr>
          <w:bCs/>
          <w:b/>
        </w:rPr>
        <w:t xml:space="preserve">APP使用频率的一致性影响：</w:t>
      </w:r>
      <w:r>
        <w:t xml:space="preserve"> </w:t>
      </w:r>
      <w:r>
        <w:t xml:space="preserve">在两个模型中，APP使用频率均为显著预测因素，且标准化系数最大，表明移动学习工具的使用对词汇习得具有稳定的正向效应，不受词汇难度影响。</w:t>
      </w:r>
    </w:p>
    <w:p>
      <w:pPr>
        <w:numPr>
          <w:ilvl w:val="0"/>
          <w:numId w:val="1007"/>
        </w:numPr>
      </w:pPr>
      <w:r>
        <w:rPr>
          <w:bCs/>
          <w:b/>
        </w:rPr>
        <w:t xml:space="preserve">四级学习程度的差异性影响：</w:t>
      </w:r>
      <w:r>
        <w:t xml:space="preserve"> </w:t>
      </w:r>
      <w:r>
        <w:t xml:space="preserve">四级学习程度仅在基础词汇层次（score1）显著，而在高级词汇层次（score2）不显著，提示学习投入对基础词汇的习得更为关键。</w:t>
      </w:r>
    </w:p>
    <w:p>
      <w:pPr>
        <w:numPr>
          <w:ilvl w:val="0"/>
          <w:numId w:val="1007"/>
        </w:numPr>
      </w:pPr>
      <w:r>
        <w:rPr>
          <w:bCs/>
          <w:b/>
        </w:rPr>
        <w:t xml:space="preserve">高考语文成绩的层次性影响：</w:t>
      </w:r>
      <w:r>
        <w:t xml:space="preserve"> </w:t>
      </w:r>
      <w:r>
        <w:t xml:space="preserve">高考语文成绩在基础词汇层次不显著，但在高级词汇层次显著，表明母语能力的迁移效应可能在更高难度的词汇学习中才能体现。</w:t>
      </w:r>
    </w:p>
    <w:p>
      <w:pPr>
        <w:numPr>
          <w:ilvl w:val="0"/>
          <w:numId w:val="1007"/>
        </w:numPr>
      </w:pPr>
      <w:r>
        <w:rPr>
          <w:bCs/>
          <w:b/>
        </w:rPr>
        <w:t xml:space="preserve">模型解释力：</w:t>
      </w:r>
      <w:r>
        <w:t xml:space="preserve"> </w:t>
      </w:r>
      <w:r>
        <w:t xml:space="preserve">两个模型的解释力相近（约27-28%），表明除了本研究考察的三个因素外，还有其他因素（如学习策略、认知能力、学习时长等）影响词汇习得。</w:t>
      </w:r>
    </w:p>
    <w:p>
      <w:r>
        <w:pict>
          <v:rect style="width:0;height:1.5pt" o:hralign="center" o:hrstd="t" o:hr="t"/>
        </w:pict>
      </w:r>
    </w:p>
    <w:bookmarkEnd w:id="45"/>
    <w:bookmarkEnd w:id="46"/>
    <w:bookmarkStart w:id="53" w:name="discussion"/>
    <w:p>
      <w:pPr>
        <w:pStyle w:val="Heading2"/>
      </w:pPr>
      <w:r>
        <w:t xml:space="preserve">5. Discussion</w:t>
      </w:r>
    </w:p>
    <w:bookmarkStart w:id="47" w:name="app使用频率的稳定效应"/>
    <w:p>
      <w:pPr>
        <w:pStyle w:val="Heading3"/>
      </w:pPr>
      <w:r>
        <w:t xml:space="preserve">5.1 APP使用频率的稳定效应</w:t>
      </w:r>
    </w:p>
    <w:p>
      <w:pPr>
        <w:pStyle w:val="FirstParagraph"/>
      </w:pPr>
      <w:r>
        <w:t xml:space="preserve">研究发现，APP使用频率在两个模型中均为最强的预测因素，这一结果与技术辅助语言学习的理论预期相符。这种稳定效应可以从以下几个方面解释：</w:t>
      </w:r>
    </w:p>
    <w:p>
      <w:pPr>
        <w:pStyle w:val="BodyText"/>
      </w:pPr>
      <w:r>
        <w:t xml:space="preserve">首先，</w:t>
      </w:r>
      <w:r>
        <w:rPr>
          <w:bCs/>
          <w:b/>
        </w:rPr>
        <w:t xml:space="preserve">接触频率效应</w:t>
      </w:r>
      <w:r>
        <w:t xml:space="preserve">（Frequency Effect）是词汇习得的基本机制。根据使用基础理论（Usage-based Theory），语言单位的学习强度与接触频率成正比（Ellis, 2002）。英语学习APP通过每日打卡、词汇复习提醒等机制增加了学习者与目标词汇的接触频率，促进了记忆痕迹的巩固。</w:t>
      </w:r>
    </w:p>
    <w:p>
      <w:pPr>
        <w:pStyle w:val="BodyText"/>
      </w:pPr>
      <w:r>
        <w:t xml:space="preserve">其次，</w:t>
      </w:r>
      <w:r>
        <w:rPr>
          <w:bCs/>
          <w:b/>
        </w:rPr>
        <w:t xml:space="preserve">间隔重复效应</w:t>
      </w:r>
      <w:r>
        <w:t xml:space="preserve">（Spaced Repetition）在移动学习中得到充分应用。大多数单词记忆APP采用基于遗忘曲线的智能复习算法，如SuperMemo的SM-2算法，在最佳时间点推送复习内容，从而提高记忆效率（Nakata, 2011）。高频使用者能够更好地利用这一算法优势。</w:t>
      </w:r>
    </w:p>
    <w:p>
      <w:pPr>
        <w:pStyle w:val="BodyText"/>
      </w:pPr>
      <w:r>
        <w:t xml:space="preserve">再次，</w:t>
      </w:r>
      <w:r>
        <w:rPr>
          <w:bCs/>
          <w:b/>
        </w:rPr>
        <w:t xml:space="preserve">多模态学习</w:t>
      </w:r>
      <w:r>
        <w:t xml:space="preserve">（Multimodal Learning）增强了记忆效果。移动APP通常整合了文字、图片、音频、例句等多种呈现方式，激活了学习者的多重感官通道，促进了深度加工（Mayer, 2009）。</w:t>
      </w:r>
    </w:p>
    <w:p>
      <w:pPr>
        <w:pStyle w:val="BodyText"/>
      </w:pPr>
      <w:r>
        <w:t xml:space="preserve">值得注意的是，APP使用频率对基础词汇（β=0.438）的影响略大于高级词汇（β=0.358），这可能是因为APP内容主要集中在高频基础词汇，对高级词汇的覆盖相对有限。</w:t>
      </w:r>
    </w:p>
    <w:bookmarkEnd w:id="47"/>
    <w:bookmarkStart w:id="48" w:name="四级学习程度的阶段性影响"/>
    <w:p>
      <w:pPr>
        <w:pStyle w:val="Heading3"/>
      </w:pPr>
      <w:r>
        <w:t xml:space="preserve">5.2 四级学习程度的阶段性影响</w:t>
      </w:r>
    </w:p>
    <w:p>
      <w:pPr>
        <w:pStyle w:val="FirstParagraph"/>
      </w:pPr>
      <w:r>
        <w:t xml:space="preserve">四级学习程度仅在基础词汇层次显著（β=0.316, p=0.0382），而在高级词汇层次不显著（β=0.119, p=0.3947），这一发现具有重要的理论和实践意义。</w:t>
      </w:r>
    </w:p>
    <w:p>
      <w:pPr>
        <w:pStyle w:val="BodyText"/>
      </w:pPr>
      <w:r>
        <w:t xml:space="preserve">从</w:t>
      </w:r>
      <w:r>
        <w:rPr>
          <w:bCs/>
          <w:b/>
        </w:rPr>
        <w:t xml:space="preserve">测试导向效应</w:t>
      </w:r>
      <w:r>
        <w:t xml:space="preserve">（Washback Effect）角度看，大学英语四级考试的词汇要求主要集中在基础和中级词汇范围（约4000-5000词汇量），与UVLT Level 1000的测试内容高度重合，而与Level 3000的高级词汇重叠较少（Cheng, 2008）。因此，为四级考试备考的学习活动（如做真题、背四级词汇书）直接促进了基础词汇的掌握，但对超出考试范围的高级词汇影响有限。</w:t>
      </w:r>
    </w:p>
    <w:p>
      <w:pPr>
        <w:pStyle w:val="BodyText"/>
      </w:pPr>
      <w:r>
        <w:t xml:space="preserve">从</w:t>
      </w:r>
      <w:r>
        <w:rPr>
          <w:bCs/>
          <w:b/>
        </w:rPr>
        <w:t xml:space="preserve">学习投入的针对性</w:t>
      </w:r>
      <w:r>
        <w:t xml:space="preserve">角度看，备考四级的学生往往采取目标导向的学习策略，重点攻克考试范围内的词汇。这种策略性学习在短期内对考试相关内容有效，但可能牺牲了对更高级词汇的探索。这一发现支持了目标导向动机（Goal-oriented Motivation）的作用具有情境特异性（Dörnyei, 2005）。</w:t>
      </w:r>
    </w:p>
    <w:p>
      <w:pPr>
        <w:pStyle w:val="BodyText"/>
      </w:pPr>
      <w:r>
        <w:t xml:space="preserve">从</w:t>
      </w:r>
      <w:r>
        <w:rPr>
          <w:bCs/>
          <w:b/>
        </w:rPr>
        <w:t xml:space="preserve">词汇习得的阶段性</w:t>
      </w:r>
      <w:r>
        <w:t xml:space="preserve">角度看，基础词汇的习得更依赖于有意识的学习和记忆，而高级词汇的习得则更多地依赖于广泛的阅读输入和自然习得（Nation, 2001）。四级备考的系统性学习方式恰好契合了基础词汇习得的特点，但对高级词汇而言，单纯的有意学习可能不如大量的语言输入有效。</w:t>
      </w:r>
    </w:p>
    <w:bookmarkEnd w:id="48"/>
    <w:bookmarkStart w:id="49" w:name="高考语文成绩的层次性迁移效应"/>
    <w:p>
      <w:pPr>
        <w:pStyle w:val="Heading3"/>
      </w:pPr>
      <w:r>
        <w:t xml:space="preserve">5.3 高考语文成绩的层次性迁移效应</w:t>
      </w:r>
    </w:p>
    <w:p>
      <w:pPr>
        <w:pStyle w:val="FirstParagraph"/>
      </w:pPr>
      <w:r>
        <w:t xml:space="preserve">研究发现，高考语文成绩在基础词汇层次不显著（β=0.067, p=0.1613），但在高级词汇层次显著（β=0.113, p=0.0126），这一模式与研究假设相符，揭示了跨语言迁移效应的复杂性。</w:t>
      </w:r>
    </w:p>
    <w:p>
      <w:pPr>
        <w:pStyle w:val="BodyText"/>
      </w:pPr>
      <w:r>
        <w:t xml:space="preserve">这一发现可以用</w:t>
      </w:r>
      <w:r>
        <w:rPr>
          <w:bCs/>
          <w:b/>
        </w:rPr>
        <w:t xml:space="preserve">语言学习的阈值理论</w:t>
      </w:r>
      <w:r>
        <w:t xml:space="preserve">（Threshold Hypothesis）来解释。Cummins（1979）提出，只有当学习者的母语能力达到一定阈值时，跨语言的认知优势才能显现。对于基础高频词汇，学习主要涉及形式-意义的直接关联，这是相对机械的记忆过程，对母语能力的要求较低。而高级词汇往往具有抽象性强、一词多义、语义关系复杂等特点，需要更高的语言分析能力和元语言意识，此时母语能力的优势得以发挥。</w:t>
      </w:r>
    </w:p>
    <w:p>
      <w:pPr>
        <w:pStyle w:val="BodyText"/>
      </w:pPr>
      <w:r>
        <w:t xml:space="preserve">从</w:t>
      </w:r>
      <w:r>
        <w:rPr>
          <w:bCs/>
          <w:b/>
        </w:rPr>
        <w:t xml:space="preserve">词汇深度知识</w:t>
      </w:r>
      <w:r>
        <w:t xml:space="preserve">（Depth of Vocabulary Knowledge）角度看，高级词汇的习得不仅需要知道词义，还需要理解词汇的语义网络、搭配关系、语用特征等（Read, 2000）。高考语文成绩较高的学生通常在母语中积累了丰富的语义分析经验和语言直觉，这些元认知能力能够迁移到英语高级词汇的学习中。</w:t>
      </w:r>
    </w:p>
    <w:p>
      <w:pPr>
        <w:pStyle w:val="BodyText"/>
      </w:pPr>
      <w:r>
        <w:t xml:space="preserve">此外，</w:t>
      </w:r>
      <w:r>
        <w:rPr>
          <w:bCs/>
          <w:b/>
        </w:rPr>
        <w:t xml:space="preserve">认知学术语言能力</w:t>
      </w:r>
      <w:r>
        <w:t xml:space="preserve">（Cognitive Academic Language Proficiency, CALP）的跨语言共通性也支持这一发现（Cummins, 1984）。高考语文测试包含阅读理解、文言文分析、写作等高阶语言任务，这些任务所需的认知能力（如推理、分析、综合）与高级词汇学习所需能力高度相关。</w:t>
      </w:r>
    </w:p>
    <w:p>
      <w:pPr>
        <w:pStyle w:val="BodyText"/>
      </w:pPr>
      <w:r>
        <w:t xml:space="preserve">然而，需要注意的是，高考语文成绩的效应量相对较小（β=0.113），表明跨语言迁移的作用有限，英语词汇学习仍主要依赖于英语学习本身的投入。</w:t>
      </w:r>
    </w:p>
    <w:bookmarkEnd w:id="49"/>
    <w:bookmarkStart w:id="50" w:name="两个模型的比较与理论意义"/>
    <w:p>
      <w:pPr>
        <w:pStyle w:val="Heading3"/>
      </w:pPr>
      <w:r>
        <w:t xml:space="preserve">5.4 两个模型的比较与理论意义</w:t>
      </w:r>
    </w:p>
    <w:p>
      <w:pPr>
        <w:pStyle w:val="FirstParagraph"/>
      </w:pPr>
      <w:r>
        <w:t xml:space="preserve">两个模型的对比揭示了词汇习得的</w:t>
      </w:r>
      <w:r>
        <w:rPr>
          <w:bCs/>
          <w:b/>
        </w:rPr>
        <w:t xml:space="preserve">多层次性</w:t>
      </w:r>
      <w:r>
        <w:t xml:space="preserve">和</w:t>
      </w:r>
      <w:r>
        <w:rPr>
          <w:bCs/>
          <w:b/>
        </w:rPr>
        <w:t xml:space="preserve">多因素交互性</w:t>
      </w:r>
      <w:r>
        <w:t xml:space="preserve">：</w:t>
      </w:r>
    </w:p>
    <w:p>
      <w:pPr>
        <w:numPr>
          <w:ilvl w:val="0"/>
          <w:numId w:val="1008"/>
        </w:numPr>
      </w:pPr>
      <w:r>
        <w:rPr>
          <w:bCs/>
          <w:b/>
        </w:rPr>
        <w:t xml:space="preserve">层次特异性：</w:t>
      </w:r>
      <w:r>
        <w:t xml:space="preserve"> </w:t>
      </w:r>
      <w:r>
        <w:t xml:space="preserve">不同难度词汇的习得机制存在差异。基础词汇更依赖于有意学习和考试导向的学习投入，而高级词汇更依赖于整体语言能力和认知基础。</w:t>
      </w:r>
    </w:p>
    <w:p>
      <w:pPr>
        <w:numPr>
          <w:ilvl w:val="0"/>
          <w:numId w:val="1008"/>
        </w:numPr>
      </w:pPr>
      <w:r>
        <w:rPr>
          <w:bCs/>
          <w:b/>
        </w:rPr>
        <w:t xml:space="preserve">技术工具的普适性：</w:t>
      </w:r>
      <w:r>
        <w:t xml:space="preserve"> </w:t>
      </w:r>
      <w:r>
        <w:t xml:space="preserve">APP使用作为一种学习行为，对不同层次的词汇均有促进作用，体现了移动学习的价值。</w:t>
      </w:r>
    </w:p>
    <w:p>
      <w:pPr>
        <w:numPr>
          <w:ilvl w:val="0"/>
          <w:numId w:val="1008"/>
        </w:numPr>
      </w:pPr>
      <w:r>
        <w:rPr>
          <w:bCs/>
          <w:b/>
        </w:rPr>
        <w:t xml:space="preserve">能力迁移的条件性：</w:t>
      </w:r>
      <w:r>
        <w:t xml:space="preserve"> </w:t>
      </w:r>
      <w:r>
        <w:t xml:space="preserve">母语能力的迁移效应不是自动的，而是依赖于任务复杂度。只有在高难度任务中，母语优势才能转化为第二语言优势。</w:t>
      </w:r>
    </w:p>
    <w:p>
      <w:pPr>
        <w:pStyle w:val="FirstParagraph"/>
      </w:pPr>
      <w:r>
        <w:t xml:space="preserve">这些发现对</w:t>
      </w:r>
      <w:r>
        <w:rPr>
          <w:bCs/>
          <w:b/>
        </w:rPr>
        <w:t xml:space="preserve">词汇习得的多元理论整合</w:t>
      </w:r>
      <w:r>
        <w:t xml:space="preserve">有重要启示。传统上，词汇习得研究分为偶然习得（Incidental Acquisition）和有意学习（Intentional Learning）两大范式，本研究的结果表明，这两种路径在不同词汇层次上的重要性不同，需要根据学习目标灵活选择策略。</w:t>
      </w:r>
    </w:p>
    <w:bookmarkEnd w:id="50"/>
    <w:bookmarkStart w:id="51" w:name="实践应用"/>
    <w:p>
      <w:pPr>
        <w:pStyle w:val="Heading3"/>
      </w:pPr>
      <w:r>
        <w:t xml:space="preserve">5.5 实践应用</w:t>
      </w:r>
    </w:p>
    <w:p>
      <w:pPr>
        <w:pStyle w:val="FirstParagraph"/>
      </w:pPr>
      <w:r>
        <w:t xml:space="preserve">研究结果对英语教学和学习具有以下实践启示：</w:t>
      </w:r>
    </w:p>
    <w:p>
      <w:pPr>
        <w:pStyle w:val="BodyText"/>
      </w:pPr>
      <w:r>
        <w:rPr>
          <w:bCs/>
          <w:b/>
        </w:rPr>
        <w:t xml:space="preserve">对教师而言：</w:t>
      </w:r>
    </w:p>
    <w:p>
      <w:pPr>
        <w:numPr>
          <w:ilvl w:val="0"/>
          <w:numId w:val="1009"/>
        </w:numPr>
      </w:pPr>
      <w:r>
        <w:rPr>
          <w:bCs/>
          <w:b/>
        </w:rPr>
        <w:t xml:space="preserve">差异化教学策略：</w:t>
      </w:r>
      <w:r>
        <w:t xml:space="preserve"> </w:t>
      </w:r>
      <w:r>
        <w:t xml:space="preserve">基础词汇教学应强调系统性学习、重复练习和测试反馈；高级词汇教学则应强调广泛阅读、语境理解和深度加工。</w:t>
      </w:r>
    </w:p>
    <w:p>
      <w:pPr>
        <w:numPr>
          <w:ilvl w:val="0"/>
          <w:numId w:val="1009"/>
        </w:numPr>
      </w:pPr>
      <w:r>
        <w:rPr>
          <w:bCs/>
          <w:b/>
        </w:rPr>
        <w:t xml:space="preserve">技术工具整合：</w:t>
      </w:r>
      <w:r>
        <w:t xml:space="preserve"> </w:t>
      </w:r>
      <w:r>
        <w:t xml:space="preserve">鼓励学生使用英语学习APP，但需引导其合理使用，避免过度依赖碎片化学习而忽视系统性学习。</w:t>
      </w:r>
    </w:p>
    <w:p>
      <w:pPr>
        <w:numPr>
          <w:ilvl w:val="0"/>
          <w:numId w:val="1009"/>
        </w:numPr>
      </w:pPr>
      <w:r>
        <w:rPr>
          <w:bCs/>
          <w:b/>
        </w:rPr>
        <w:t xml:space="preserve">母语资源利用：</w:t>
      </w:r>
      <w:r>
        <w:t xml:space="preserve"> </w:t>
      </w:r>
      <w:r>
        <w:t xml:space="preserve">对于高级词汇教学，可以适当利用学生的母语分析能力，通过对比、类比等方式促进深度理解。</w:t>
      </w:r>
    </w:p>
    <w:p>
      <w:pPr>
        <w:pStyle w:val="FirstParagraph"/>
      </w:pPr>
      <w:r>
        <w:rPr>
          <w:bCs/>
          <w:b/>
        </w:rPr>
        <w:t xml:space="preserve">对学习者而言：</w:t>
      </w:r>
    </w:p>
    <w:p>
      <w:pPr>
        <w:numPr>
          <w:ilvl w:val="0"/>
          <w:numId w:val="1010"/>
        </w:numPr>
      </w:pPr>
      <w:r>
        <w:rPr>
          <w:bCs/>
          <w:b/>
        </w:rPr>
        <w:t xml:space="preserve">持续使用学习工具：</w:t>
      </w:r>
      <w:r>
        <w:t xml:space="preserve"> </w:t>
      </w:r>
      <w:r>
        <w:t xml:space="preserve">坚持使用英语学习APP，利用碎片时间进行高频复习，巩固词汇记忆。</w:t>
      </w:r>
    </w:p>
    <w:p>
      <w:pPr>
        <w:numPr>
          <w:ilvl w:val="0"/>
          <w:numId w:val="1010"/>
        </w:numPr>
      </w:pPr>
      <w:r>
        <w:rPr>
          <w:bCs/>
          <w:b/>
        </w:rPr>
        <w:t xml:space="preserve">目标导向学习：</w:t>
      </w:r>
      <w:r>
        <w:t xml:space="preserve"> </w:t>
      </w:r>
      <w:r>
        <w:t xml:space="preserve">对于有明确考试目标（如四级）的学习者，系统性备考能够有效提升基础词汇水平。</w:t>
      </w:r>
    </w:p>
    <w:p>
      <w:pPr>
        <w:numPr>
          <w:ilvl w:val="0"/>
          <w:numId w:val="1010"/>
        </w:numPr>
      </w:pPr>
      <w:r>
        <w:rPr>
          <w:bCs/>
          <w:b/>
        </w:rPr>
        <w:t xml:space="preserve">扩展学习范围：</w:t>
      </w:r>
      <w:r>
        <w:t xml:space="preserve"> </w:t>
      </w:r>
      <w:r>
        <w:t xml:space="preserve">要突破考试词汇的局限，通过广泛阅读、观看英文视频等方式接触更高级的词汇。</w:t>
      </w:r>
    </w:p>
    <w:p>
      <w:pPr>
        <w:numPr>
          <w:ilvl w:val="0"/>
          <w:numId w:val="1010"/>
        </w:numPr>
      </w:pPr>
      <w:r>
        <w:rPr>
          <w:bCs/>
          <w:b/>
        </w:rPr>
        <w:t xml:space="preserve">发挥母语优势：</w:t>
      </w:r>
      <w:r>
        <w:t xml:space="preserve"> </w:t>
      </w:r>
      <w:r>
        <w:t xml:space="preserve">语文能力较强的学习者应将分析能力应用于英语学习，特别是在理解复杂词汇的语义和用法时。</w:t>
      </w:r>
    </w:p>
    <w:bookmarkEnd w:id="51"/>
    <w:bookmarkStart w:id="52" w:name="研究局限性"/>
    <w:p>
      <w:pPr>
        <w:pStyle w:val="Heading3"/>
      </w:pPr>
      <w:r>
        <w:t xml:space="preserve">5.6 研究局限性</w:t>
      </w:r>
    </w:p>
    <w:p>
      <w:pPr>
        <w:pStyle w:val="FirstParagraph"/>
      </w:pPr>
      <w:r>
        <w:t xml:space="preserve">本研究存在以下局限性：</w:t>
      </w:r>
    </w:p>
    <w:p>
      <w:pPr>
        <w:numPr>
          <w:ilvl w:val="0"/>
          <w:numId w:val="1011"/>
        </w:numPr>
      </w:pPr>
      <w:r>
        <w:rPr>
          <w:bCs/>
          <w:b/>
        </w:rPr>
        <w:t xml:space="preserve">横截面设计的因果推断限制：</w:t>
      </w:r>
      <w:r>
        <w:t xml:space="preserve"> </w:t>
      </w:r>
      <w:r>
        <w:t xml:space="preserve">本研究采用横截面数据，无法确定因果方向。例如，是APP使用促进了词汇学习，还是词汇水平较高的学生更倾向于使用APP？未来研究应采用纵向追踪或实验设计来验证因果关系。</w:t>
      </w:r>
    </w:p>
    <w:p>
      <w:pPr>
        <w:numPr>
          <w:ilvl w:val="0"/>
          <w:numId w:val="1011"/>
        </w:numPr>
      </w:pPr>
      <w:r>
        <w:rPr>
          <w:bCs/>
          <w:b/>
        </w:rPr>
        <w:t xml:space="preserve">自变量测量的局限：</w:t>
      </w:r>
      <w:r>
        <w:t xml:space="preserve"> </w:t>
      </w:r>
      <w:r>
        <w:t xml:space="preserve">APP使用频率通过自我报告测量，可能存在社会期许偏差。未来研究可以通过APP使用记录数据获取更客观的指标。此外，使用频率未能反映使用质量（如学习策略、专注程度等），这可能是更重要的影响因素。</w:t>
      </w:r>
    </w:p>
    <w:p>
      <w:pPr>
        <w:numPr>
          <w:ilvl w:val="0"/>
          <w:numId w:val="1011"/>
        </w:numPr>
      </w:pPr>
      <w:r>
        <w:rPr>
          <w:bCs/>
          <w:b/>
        </w:rPr>
        <w:t xml:space="preserve">样本代表性问题：</w:t>
      </w:r>
      <w:r>
        <w:t xml:space="preserve"> </w:t>
      </w:r>
      <w:r>
        <w:t xml:space="preserve">样本来自单一高校，且采用便利抽样，限制了结果的外部效度。不同地区、不同类型高校的学生可能呈现不同模式。</w:t>
      </w:r>
    </w:p>
    <w:p>
      <w:pPr>
        <w:numPr>
          <w:ilvl w:val="0"/>
          <w:numId w:val="1011"/>
        </w:numPr>
      </w:pPr>
      <w:r>
        <w:rPr>
          <w:bCs/>
          <w:b/>
        </w:rPr>
        <w:t xml:space="preserve">模型解释力有限：</w:t>
      </w:r>
      <w:r>
        <w:t xml:space="preserve"> </w:t>
      </w:r>
      <w:r>
        <w:t xml:space="preserve">两个模型仅解释了约27-28%的方差，表明还有大量影响因素未被考察，如学习时长、学习策略、英语基础、认知能力、阅读量等。</w:t>
      </w:r>
    </w:p>
    <w:p>
      <w:pPr>
        <w:numPr>
          <w:ilvl w:val="0"/>
          <w:numId w:val="1011"/>
        </w:numPr>
      </w:pPr>
      <w:r>
        <w:rPr>
          <w:bCs/>
          <w:b/>
        </w:rPr>
        <w:t xml:space="preserve">词汇测试的范围限制：</w:t>
      </w:r>
      <w:r>
        <w:t xml:space="preserve"> </w:t>
      </w:r>
      <w:r>
        <w:t xml:space="preserve">仅测试了Level 1000和Level 3000两个层次，未能涵盖中间层次（如Level 2000）和更高层次（如Level 5000），限制了对词汇习得全貌的理解。</w:t>
      </w:r>
    </w:p>
    <w:p>
      <w:pPr>
        <w:numPr>
          <w:ilvl w:val="0"/>
          <w:numId w:val="1011"/>
        </w:numPr>
      </w:pPr>
      <w:r>
        <w:rPr>
          <w:bCs/>
          <w:b/>
        </w:rPr>
        <w:t xml:space="preserve">第三变量和中介效应：</w:t>
      </w:r>
      <w:r>
        <w:t xml:space="preserve"> </w:t>
      </w:r>
      <w:r>
        <w:t xml:space="preserve">本研究未考察可能的中介变量（如学习策略、元认知能力）和调节变量（如学习动机、自我效能感），这些因素可能影响自变量与因变量之间的关系。</w:t>
      </w:r>
    </w:p>
    <w:p>
      <w:r>
        <w:pict>
          <v:rect style="width:0;height:1.5pt" o:hralign="center" o:hrstd="t" o:hr="t"/>
        </w:pict>
      </w:r>
    </w:p>
    <w:bookmarkEnd w:id="52"/>
    <w:bookmarkEnd w:id="53"/>
    <w:bookmarkStart w:id="58" w:name="conclusion"/>
    <w:p>
      <w:pPr>
        <w:pStyle w:val="Heading2"/>
      </w:pPr>
      <w:r>
        <w:t xml:space="preserve">6. Conclusion</w:t>
      </w:r>
    </w:p>
    <w:p>
      <w:pPr>
        <w:pStyle w:val="FirstParagraph"/>
      </w:pPr>
      <w:r>
        <w:t xml:space="preserve">本研究通过多元回归分析探讨了APP使用频率、四级学习程度和高考语文成绩对大学生英语词汇水平的影响，得出以下主要结论：</w:t>
      </w:r>
    </w:p>
    <w:bookmarkStart w:id="54" w:name="主要发现"/>
    <w:p>
      <w:pPr>
        <w:pStyle w:val="Heading3"/>
      </w:pPr>
      <w:r>
        <w:t xml:space="preserve">6.1 主要发现</w:t>
      </w:r>
    </w:p>
    <w:p>
      <w:pPr>
        <w:numPr>
          <w:ilvl w:val="0"/>
          <w:numId w:val="1012"/>
        </w:numPr>
      </w:pPr>
      <w:r>
        <w:rPr>
          <w:bCs/>
          <w:b/>
        </w:rPr>
        <w:t xml:space="preserve">移动学习工具的普遍有效性：</w:t>
      </w:r>
      <w:r>
        <w:t xml:space="preserve"> </w:t>
      </w:r>
      <w:r>
        <w:t xml:space="preserve">APP使用频率对基础词汇和高级词汇均有显著正向影响，是最稳定的预测因素。这表明，在数字时代，移动学习已成为词汇习得的重要途径。</w:t>
      </w:r>
    </w:p>
    <w:p>
      <w:pPr>
        <w:numPr>
          <w:ilvl w:val="0"/>
          <w:numId w:val="1012"/>
        </w:numPr>
      </w:pPr>
      <w:r>
        <w:rPr>
          <w:bCs/>
          <w:b/>
        </w:rPr>
        <w:t xml:space="preserve">学习投入的针对性效应：</w:t>
      </w:r>
      <w:r>
        <w:t xml:space="preserve"> </w:t>
      </w:r>
      <w:r>
        <w:t xml:space="preserve">四级学习程度显著影响基础词汇但不影响高级词汇，反映出考试导向学习的局限性——它能够有效提升考试范围内的知识，但对超出范围的高级能力促进有限。</w:t>
      </w:r>
    </w:p>
    <w:p>
      <w:pPr>
        <w:numPr>
          <w:ilvl w:val="0"/>
          <w:numId w:val="1012"/>
        </w:numPr>
      </w:pPr>
      <w:r>
        <w:rPr>
          <w:bCs/>
          <w:b/>
        </w:rPr>
        <w:t xml:space="preserve">母语能力的层次性迁移：</w:t>
      </w:r>
      <w:r>
        <w:t xml:space="preserve"> </w:t>
      </w:r>
      <w:r>
        <w:t xml:space="preserve">高考语文成绩仅在高级词汇层次显著，表明跨语言的认知能力迁移需要达到一定的任务复杂度阈值才能显现。</w:t>
      </w:r>
    </w:p>
    <w:p>
      <w:pPr>
        <w:numPr>
          <w:ilvl w:val="0"/>
          <w:numId w:val="1012"/>
        </w:numPr>
      </w:pPr>
      <w:r>
        <w:rPr>
          <w:bCs/>
          <w:b/>
        </w:rPr>
        <w:t xml:space="preserve">词汇习得的多层次机制：</w:t>
      </w:r>
      <w:r>
        <w:t xml:space="preserve"> </w:t>
      </w:r>
      <w:r>
        <w:t xml:space="preserve">基础词汇与高级词汇的影响因素模式不同，提示词汇教学需要采取差异化策略。</w:t>
      </w:r>
    </w:p>
    <w:bookmarkEnd w:id="54"/>
    <w:bookmarkStart w:id="55" w:name="对英语教学的建议"/>
    <w:p>
      <w:pPr>
        <w:pStyle w:val="Heading3"/>
      </w:pPr>
      <w:r>
        <w:t xml:space="preserve">6.2 对英语教学的建议</w:t>
      </w:r>
    </w:p>
    <w:p>
      <w:pPr>
        <w:numPr>
          <w:ilvl w:val="0"/>
          <w:numId w:val="1013"/>
        </w:numPr>
      </w:pPr>
      <w:r>
        <w:rPr>
          <w:bCs/>
          <w:b/>
        </w:rPr>
        <w:t xml:space="preserve">整合技术工具：</w:t>
      </w:r>
      <w:r>
        <w:t xml:space="preserve"> </w:t>
      </w:r>
      <w:r>
        <w:t xml:space="preserve">将移动学习APP纳入正式的教学体系，引导学生科学使用，将碎片化学习与系统性学习相结合。</w:t>
      </w:r>
    </w:p>
    <w:p>
      <w:pPr>
        <w:numPr>
          <w:ilvl w:val="0"/>
          <w:numId w:val="1013"/>
        </w:numPr>
      </w:pPr>
      <w:r>
        <w:rPr>
          <w:bCs/>
          <w:b/>
        </w:rPr>
        <w:t xml:space="preserve">平衡考试准备与能力发展：</w:t>
      </w:r>
      <w:r>
        <w:t xml:space="preserve"> </w:t>
      </w:r>
      <w:r>
        <w:t xml:space="preserve">在重视考试的同时，鼓励学生超越考试范围，通过广泛阅读和真实语言使用积累高级词汇。</w:t>
      </w:r>
    </w:p>
    <w:p>
      <w:pPr>
        <w:numPr>
          <w:ilvl w:val="0"/>
          <w:numId w:val="1013"/>
        </w:numPr>
      </w:pPr>
      <w:r>
        <w:rPr>
          <w:bCs/>
          <w:b/>
        </w:rPr>
        <w:t xml:space="preserve">重视母语资源：</w:t>
      </w:r>
      <w:r>
        <w:t xml:space="preserve"> </w:t>
      </w:r>
      <w:r>
        <w:t xml:space="preserve">在高级词汇教学中，适当利用学生的母语分析能力，促进深度理解和跨语言联系。</w:t>
      </w:r>
    </w:p>
    <w:p>
      <w:pPr>
        <w:numPr>
          <w:ilvl w:val="0"/>
          <w:numId w:val="1013"/>
        </w:numPr>
      </w:pPr>
      <w:r>
        <w:rPr>
          <w:bCs/>
          <w:b/>
        </w:rPr>
        <w:t xml:space="preserve">分层教学设计：</w:t>
      </w:r>
      <w:r>
        <w:t xml:space="preserve"> </w:t>
      </w:r>
      <w:r>
        <w:t xml:space="preserve">对不同词汇层次采取不同的教学方法——基础词汇强调重复和强化，高级词汇强调语境和应用。</w:t>
      </w:r>
    </w:p>
    <w:bookmarkEnd w:id="55"/>
    <w:bookmarkStart w:id="56" w:name="对学生学习的启示"/>
    <w:p>
      <w:pPr>
        <w:pStyle w:val="Heading3"/>
      </w:pPr>
      <w:r>
        <w:t xml:space="preserve">6.3 对学生学习的启示</w:t>
      </w:r>
    </w:p>
    <w:p>
      <w:pPr>
        <w:numPr>
          <w:ilvl w:val="0"/>
          <w:numId w:val="1014"/>
        </w:numPr>
      </w:pPr>
      <w:r>
        <w:rPr>
          <w:bCs/>
          <w:b/>
        </w:rPr>
        <w:t xml:space="preserve">养成持续学习习惯：</w:t>
      </w:r>
      <w:r>
        <w:t xml:space="preserve"> </w:t>
      </w:r>
      <w:r>
        <w:t xml:space="preserve">每天坚持使用英语学习APP，利用碎片时间进行高频率的词汇接触和复习。</w:t>
      </w:r>
    </w:p>
    <w:p>
      <w:pPr>
        <w:numPr>
          <w:ilvl w:val="0"/>
          <w:numId w:val="1014"/>
        </w:numPr>
      </w:pPr>
      <w:r>
        <w:rPr>
          <w:bCs/>
          <w:b/>
        </w:rPr>
        <w:t xml:space="preserve">设定明确学习目标：</w:t>
      </w:r>
      <w:r>
        <w:t xml:space="preserve"> </w:t>
      </w:r>
      <w:r>
        <w:t xml:space="preserve">有考试目标时，系统性备考能够高效提升相关词汇；但也要警惕”考试狭隘性”，主动拓展学习范围。</w:t>
      </w:r>
    </w:p>
    <w:p>
      <w:pPr>
        <w:numPr>
          <w:ilvl w:val="0"/>
          <w:numId w:val="1014"/>
        </w:numPr>
      </w:pPr>
      <w:r>
        <w:rPr>
          <w:bCs/>
          <w:b/>
        </w:rPr>
        <w:t xml:space="preserve">发挥个人优势：</w:t>
      </w:r>
      <w:r>
        <w:t xml:space="preserve"> </w:t>
      </w:r>
      <w:r>
        <w:t xml:space="preserve">母语能力强的学习者应将语言分析能力应用于英语高级词汇的学习，通过深度理解而非机械记忆来掌握复杂词汇。</w:t>
      </w:r>
    </w:p>
    <w:p>
      <w:pPr>
        <w:numPr>
          <w:ilvl w:val="0"/>
          <w:numId w:val="1014"/>
        </w:numPr>
      </w:pPr>
      <w:r>
        <w:rPr>
          <w:bCs/>
          <w:b/>
        </w:rPr>
        <w:t xml:space="preserve">注重学习质量：</w:t>
      </w:r>
      <w:r>
        <w:t xml:space="preserve"> </w:t>
      </w:r>
      <w:r>
        <w:t xml:space="preserve">使用频率固然重要，但学习质量（如专注度、学习策略、复习方法）可能更为关键，应避免”打卡式”的形式化学习。</w:t>
      </w:r>
    </w:p>
    <w:bookmarkEnd w:id="56"/>
    <w:bookmarkStart w:id="57" w:name="未来研究方向"/>
    <w:p>
      <w:pPr>
        <w:pStyle w:val="Heading3"/>
      </w:pPr>
      <w:r>
        <w:t xml:space="preserve">6.4 未来研究方向</w:t>
      </w:r>
    </w:p>
    <w:p>
      <w:pPr>
        <w:pStyle w:val="FirstParagraph"/>
      </w:pPr>
      <w:r>
        <w:t xml:space="preserve">基于本研究的局限性，提出以下未来研究方向：</w:t>
      </w:r>
    </w:p>
    <w:p>
      <w:pPr>
        <w:numPr>
          <w:ilvl w:val="0"/>
          <w:numId w:val="1015"/>
        </w:numPr>
      </w:pPr>
      <w:r>
        <w:rPr>
          <w:bCs/>
          <w:b/>
        </w:rPr>
        <w:t xml:space="preserve">纵向追踪研究：</w:t>
      </w:r>
      <w:r>
        <w:t xml:space="preserve"> </w:t>
      </w:r>
      <w:r>
        <w:t xml:space="preserve">采用纵向设计追踪学习者的APP使用行为和词汇发展轨迹，建立因果推断。</w:t>
      </w:r>
    </w:p>
    <w:p>
      <w:pPr>
        <w:numPr>
          <w:ilvl w:val="0"/>
          <w:numId w:val="1015"/>
        </w:numPr>
      </w:pPr>
      <w:r>
        <w:rPr>
          <w:bCs/>
          <w:b/>
        </w:rPr>
        <w:t xml:space="preserve">中介和调节效应研究：</w:t>
      </w:r>
      <w:r>
        <w:t xml:space="preserve"> </w:t>
      </w:r>
      <w:r>
        <w:t xml:space="preserve">探讨学习策略、元认知能力、学习动机等变量在自变量和词汇习得之间的中介或调节作用。</w:t>
      </w:r>
    </w:p>
    <w:p>
      <w:pPr>
        <w:numPr>
          <w:ilvl w:val="0"/>
          <w:numId w:val="1015"/>
        </w:numPr>
      </w:pPr>
      <w:r>
        <w:rPr>
          <w:bCs/>
          <w:b/>
        </w:rPr>
        <w:t xml:space="preserve">更细致的词汇层次分析：</w:t>
      </w:r>
      <w:r>
        <w:t xml:space="preserve"> </w:t>
      </w:r>
      <w:r>
        <w:t xml:space="preserve">增加更多词汇频段（如Level 2000, 4000, 5000）的测试，全面描绘词汇发展的层次性特征。</w:t>
      </w:r>
    </w:p>
    <w:p>
      <w:pPr>
        <w:numPr>
          <w:ilvl w:val="0"/>
          <w:numId w:val="1015"/>
        </w:numPr>
      </w:pPr>
      <w:r>
        <w:rPr>
          <w:bCs/>
          <w:b/>
        </w:rPr>
        <w:t xml:space="preserve">质性研究补充：</w:t>
      </w:r>
      <w:r>
        <w:t xml:space="preserve"> </w:t>
      </w:r>
      <w:r>
        <w:t xml:space="preserve">通过访谈、学习日志等质性方法深入了解学习者的APP使用体验、学习策略和词汇学习过程。</w:t>
      </w:r>
    </w:p>
    <w:p>
      <w:pPr>
        <w:numPr>
          <w:ilvl w:val="0"/>
          <w:numId w:val="1015"/>
        </w:numPr>
      </w:pPr>
      <w:r>
        <w:rPr>
          <w:bCs/>
          <w:b/>
        </w:rPr>
        <w:t xml:space="preserve">实验干预研究：</w:t>
      </w:r>
      <w:r>
        <w:t xml:space="preserve"> </w:t>
      </w:r>
      <w:r>
        <w:t xml:space="preserve">设计APP使用干预实验，控制使用频率、使用方式等变量，检验其对词汇习得的因果效应。</w:t>
      </w:r>
    </w:p>
    <w:p>
      <w:pPr>
        <w:numPr>
          <w:ilvl w:val="0"/>
          <w:numId w:val="1015"/>
        </w:numPr>
      </w:pPr>
      <w:r>
        <w:rPr>
          <w:bCs/>
          <w:b/>
        </w:rPr>
        <w:t xml:space="preserve">跨文化比较研究：</w:t>
      </w:r>
      <w:r>
        <w:t xml:space="preserve"> </w:t>
      </w:r>
      <w:r>
        <w:t xml:space="preserve">在不同国家和文化背景下重复研究，探讨文化因素对移动学习效果和跨语言迁移的影响。</w:t>
      </w:r>
    </w:p>
    <w:p>
      <w:pPr>
        <w:numPr>
          <w:ilvl w:val="0"/>
          <w:numId w:val="1015"/>
        </w:numPr>
      </w:pPr>
      <w:r>
        <w:rPr>
          <w:bCs/>
          <w:b/>
        </w:rPr>
        <w:t xml:space="preserve">个体差异研究：</w:t>
      </w:r>
      <w:r>
        <w:t xml:space="preserve"> </w:t>
      </w:r>
      <w:r>
        <w:t xml:space="preserve">考察认知能力、工作记忆、语言学能等个体特征对词汇学习的影响及其与环境因素的交互作用。</w:t>
      </w:r>
    </w:p>
    <w:p>
      <w:pPr>
        <w:pStyle w:val="FirstParagraph"/>
      </w:pPr>
      <w:r>
        <w:t xml:space="preserve">总之，本研究为理解数字时代的英语词汇习得提供了实证证据，揭示了技术工具、学习投入和语言基础在不同词汇难度层次上的差异性作用。这些发现为词汇教学和学习提供了有价值的指导，也为未来研究开辟了新的方向。随着移动技术的不断发展和人工智能在教育中的应用，如何更有效地利用技术促进语言学习将是一个持续重要的研究议题。</w:t>
      </w:r>
    </w:p>
    <w:p>
      <w:r>
        <w:pict>
          <v:rect style="width:0;height:1.5pt" o:hralign="center" o:hrstd="t" o:hr="t"/>
        </w:pict>
      </w:r>
    </w:p>
    <w:bookmarkEnd w:id="57"/>
    <w:bookmarkEnd w:id="58"/>
    <w:bookmarkStart w:id="59" w:name="references"/>
    <w:p>
      <w:pPr>
        <w:pStyle w:val="Heading2"/>
      </w:pPr>
      <w:r>
        <w:t xml:space="preserve">References</w:t>
      </w:r>
    </w:p>
    <w:p>
      <w:pPr>
        <w:pStyle w:val="FirstParagraph"/>
      </w:pPr>
      <w:r>
        <w:t xml:space="preserve">Burston, J. (2015). Twenty years of MALL project implementation: A meta-analysis of learning outcomes.</w:t>
      </w:r>
      <w:r>
        <w:t xml:space="preserve"> </w:t>
      </w:r>
      <w:r>
        <w:rPr>
          <w:iCs/>
          <w:i/>
        </w:rPr>
        <w:t xml:space="preserve">ReCALL, 27</w:t>
      </w:r>
      <w:r>
        <w:t xml:space="preserve">(1), 4-20. https://doi.org/10.1017/S0958344014000159</w:t>
      </w:r>
    </w:p>
    <w:p>
      <w:pPr>
        <w:pStyle w:val="BodyText"/>
      </w:pPr>
      <w:r>
        <w:t xml:space="preserve">Cheng, L. (2008). Washback, impact and consequences. In E. Shohamy &amp; N. H. Hornberger (Eds.),</w:t>
      </w:r>
      <w:r>
        <w:t xml:space="preserve"> </w:t>
      </w:r>
      <w:r>
        <w:rPr>
          <w:iCs/>
          <w:i/>
        </w:rPr>
        <w:t xml:space="preserve">Encyclopedia of language and education</w:t>
      </w:r>
      <w:r>
        <w:t xml:space="preserve"> </w:t>
      </w:r>
      <w:r>
        <w:t xml:space="preserve">(2nd ed., Vol. 7, pp. 349-364). Springer.</w:t>
      </w:r>
    </w:p>
    <w:p>
      <w:pPr>
        <w:pStyle w:val="BodyText"/>
      </w:pPr>
      <w:r>
        <w:t xml:space="preserve">Cummins, J. (1979). Linguistic interdependence and the educational development of bilingual children.</w:t>
      </w:r>
      <w:r>
        <w:t xml:space="preserve"> </w:t>
      </w:r>
      <w:r>
        <w:rPr>
          <w:iCs/>
          <w:i/>
        </w:rPr>
        <w:t xml:space="preserve">Review of Educational Research, 49</w:t>
      </w:r>
      <w:r>
        <w:t xml:space="preserve">(2), 222-251. https://doi.org/10.3102/00346543049002222</w:t>
      </w:r>
    </w:p>
    <w:p>
      <w:pPr>
        <w:pStyle w:val="BodyText"/>
      </w:pPr>
      <w:r>
        <w:t xml:space="preserve">Cummins, J. (1984).</w:t>
      </w:r>
      <w:r>
        <w:t xml:space="preserve"> </w:t>
      </w:r>
      <w:r>
        <w:rPr>
          <w:iCs/>
          <w:i/>
        </w:rPr>
        <w:t xml:space="preserve">Bilingualism and special education: Issues in assessment and pedagogy</w:t>
      </w:r>
      <w:r>
        <w:t xml:space="preserve">. Multilingual Matters.</w:t>
      </w:r>
    </w:p>
    <w:p>
      <w:pPr>
        <w:pStyle w:val="BodyText"/>
      </w:pPr>
      <w:r>
        <w:t xml:space="preserve">Dörnyei, Z. (2005).</w:t>
      </w:r>
      <w:r>
        <w:t xml:space="preserve"> </w:t>
      </w:r>
      <w:r>
        <w:rPr>
          <w:iCs/>
          <w:i/>
        </w:rPr>
        <w:t xml:space="preserve">The psychology of the language learner: Individual differences in second language acquisition</w:t>
      </w:r>
      <w:r>
        <w:t xml:space="preserve">. Lawrence Erlbaum.</w:t>
      </w:r>
    </w:p>
    <w:p>
      <w:pPr>
        <w:pStyle w:val="BodyText"/>
      </w:pPr>
      <w:r>
        <w:t xml:space="preserve">Ellis, N. C. (2002). Frequency effects in language processing: A review with implications for theories of implicit and explicit language acquisition.</w:t>
      </w:r>
      <w:r>
        <w:t xml:space="preserve"> </w:t>
      </w:r>
      <w:r>
        <w:rPr>
          <w:iCs/>
          <w:i/>
        </w:rPr>
        <w:t xml:space="preserve">Studies in Second Language Acquisition, 24</w:t>
      </w:r>
      <w:r>
        <w:t xml:space="preserve">(2), 143-188. https://doi.org/10.1017/S0272263102002024</w:t>
      </w:r>
    </w:p>
    <w:p>
      <w:pPr>
        <w:pStyle w:val="BodyText"/>
      </w:pPr>
      <w:r>
        <w:t xml:space="preserve">Jiang, N. (2004). Semantic transfer and its implications for vocabulary teaching in a second language.</w:t>
      </w:r>
      <w:r>
        <w:t xml:space="preserve"> </w:t>
      </w:r>
      <w:r>
        <w:rPr>
          <w:iCs/>
          <w:i/>
        </w:rPr>
        <w:t xml:space="preserve">The Modern Language Journal, 88</w:t>
      </w:r>
      <w:r>
        <w:t xml:space="preserve">(3), 416-432. https://doi.org/10.1111/j.0026-7902.2004.00238.x</w:t>
      </w:r>
    </w:p>
    <w:p>
      <w:pPr>
        <w:pStyle w:val="BodyText"/>
      </w:pPr>
      <w:r>
        <w:t xml:space="preserve">Koda, K. (2005).</w:t>
      </w:r>
      <w:r>
        <w:t xml:space="preserve"> </w:t>
      </w:r>
      <w:r>
        <w:rPr>
          <w:iCs/>
          <w:i/>
        </w:rPr>
        <w:t xml:space="preserve">Insights into second language reading: A cross-linguistic approach</w:t>
      </w:r>
      <w:r>
        <w:t xml:space="preserve">. Cambridge University Press.</w:t>
      </w:r>
    </w:p>
    <w:p>
      <w:pPr>
        <w:pStyle w:val="BodyText"/>
      </w:pPr>
      <w:r>
        <w:t xml:space="preserve">Laufer, B. (1998). The development of passive and active vocabulary in a second language: Same or different?</w:t>
      </w:r>
      <w:r>
        <w:t xml:space="preserve"> </w:t>
      </w:r>
      <w:r>
        <w:rPr>
          <w:iCs/>
          <w:i/>
        </w:rPr>
        <w:t xml:space="preserve">Applied Linguistics, 19</w:t>
      </w:r>
      <w:r>
        <w:t xml:space="preserve">(2), 255-271. https://doi.org/10.1093/applin/19.2.255</w:t>
      </w:r>
    </w:p>
    <w:p>
      <w:pPr>
        <w:pStyle w:val="BodyText"/>
      </w:pPr>
      <w:r>
        <w:t xml:space="preserve">Laufer, B., &amp; Ravenhorst-Kalovski, G. C. (2010). Lexical threshold revisited: Lexical text coverage, learners’ vocabulary size and reading comprehension.</w:t>
      </w:r>
      <w:r>
        <w:t xml:space="preserve"> </w:t>
      </w:r>
      <w:r>
        <w:rPr>
          <w:iCs/>
          <w:i/>
        </w:rPr>
        <w:t xml:space="preserve">Reading in a Foreign Language, 22</w:t>
      </w:r>
      <w:r>
        <w:t xml:space="preserve">(1), 15-30.</w:t>
      </w:r>
    </w:p>
    <w:p>
      <w:pPr>
        <w:pStyle w:val="BodyText"/>
      </w:pPr>
      <w:r>
        <w:t xml:space="preserve">Levy, M., &amp; Kennedy, C. (2005). Learning Italian via mobile SMS. In A. Kukulska-Hulme &amp; J. Traxler (Eds.),</w:t>
      </w:r>
      <w:r>
        <w:t xml:space="preserve"> </w:t>
      </w:r>
      <w:r>
        <w:rPr>
          <w:iCs/>
          <w:i/>
        </w:rPr>
        <w:t xml:space="preserve">Mobile learning: A handbook for educators and trainers</w:t>
      </w:r>
      <w:r>
        <w:t xml:space="preserve"> </w:t>
      </w:r>
      <w:r>
        <w:t xml:space="preserve">(pp. 76-83). Routledge.</w:t>
      </w:r>
    </w:p>
    <w:p>
      <w:pPr>
        <w:pStyle w:val="BodyText"/>
      </w:pPr>
      <w:r>
        <w:t xml:space="preserve">Mayer, R. E. (2009).</w:t>
      </w:r>
      <w:r>
        <w:t xml:space="preserve"> </w:t>
      </w:r>
      <w:r>
        <w:rPr>
          <w:iCs/>
          <w:i/>
        </w:rPr>
        <w:t xml:space="preserve">Multimedia learning</w:t>
      </w:r>
      <w:r>
        <w:t xml:space="preserve"> </w:t>
      </w:r>
      <w:r>
        <w:t xml:space="preserve">(2nd ed.). Cambridge University Press.</w:t>
      </w:r>
    </w:p>
    <w:p>
      <w:pPr>
        <w:pStyle w:val="BodyText"/>
      </w:pPr>
      <w:r>
        <w:t xml:space="preserve">Nakata, T. (2011). Computer-assisted second language vocabulary learning in a paired-associate paradigm: A critical investigation of flashcard software.</w:t>
      </w:r>
      <w:r>
        <w:t xml:space="preserve"> </w:t>
      </w:r>
      <w:r>
        <w:rPr>
          <w:iCs/>
          <w:i/>
        </w:rPr>
        <w:t xml:space="preserve">Computer Assisted Language Learning, 24</w:t>
      </w:r>
      <w:r>
        <w:t xml:space="preserve">(1), 17-38. https://doi.org/10.1080/09588221.2010.520675</w:t>
      </w:r>
    </w:p>
    <w:p>
      <w:pPr>
        <w:pStyle w:val="BodyText"/>
      </w:pPr>
      <w:r>
        <w:t xml:space="preserve">Nation, I. S. P. (2001).</w:t>
      </w:r>
      <w:r>
        <w:t xml:space="preserve"> </w:t>
      </w:r>
      <w:r>
        <w:rPr>
          <w:iCs/>
          <w:i/>
        </w:rPr>
        <w:t xml:space="preserve">Learning vocabulary in another language</w:t>
      </w:r>
      <w:r>
        <w:t xml:space="preserve">. Cambridge University Press.</w:t>
      </w:r>
    </w:p>
    <w:p>
      <w:pPr>
        <w:pStyle w:val="BodyText"/>
      </w:pPr>
      <w:r>
        <w:t xml:space="preserve">Read, J. (2000).</w:t>
      </w:r>
      <w:r>
        <w:t xml:space="preserve"> </w:t>
      </w:r>
      <w:r>
        <w:rPr>
          <w:iCs/>
          <w:i/>
        </w:rPr>
        <w:t xml:space="preserve">Assessing vocabulary</w:t>
      </w:r>
      <w:r>
        <w:t xml:space="preserve">. Cambridge University Press.</w:t>
      </w:r>
    </w:p>
    <w:p>
      <w:pPr>
        <w:pStyle w:val="BodyText"/>
      </w:pPr>
      <w:r>
        <w:t xml:space="preserve">Schmidt, R. W. (1990). The role of consciousness in second language learning.</w:t>
      </w:r>
      <w:r>
        <w:t xml:space="preserve"> </w:t>
      </w:r>
      <w:r>
        <w:rPr>
          <w:iCs/>
          <w:i/>
        </w:rPr>
        <w:t xml:space="preserve">Applied Linguistics, 11</w:t>
      </w:r>
      <w:r>
        <w:t xml:space="preserve">(2), 129-158. https://doi.org/10.1093/applin/11.2.129</w:t>
      </w:r>
    </w:p>
    <w:p>
      <w:pPr>
        <w:pStyle w:val="BodyText"/>
      </w:pPr>
      <w:r>
        <w:t xml:space="preserve">Schmitt, N., Schmitt, D., &amp; Clapham, C. (2001). Developing and exploring the behaviour of two new versions of the Vocabulary Levels Test.</w:t>
      </w:r>
      <w:r>
        <w:t xml:space="preserve"> </w:t>
      </w:r>
      <w:r>
        <w:rPr>
          <w:iCs/>
          <w:i/>
        </w:rPr>
        <w:t xml:space="preserve">Language Testing, 18</w:t>
      </w:r>
      <w:r>
        <w:t xml:space="preserve">(1), 55-88. https://doi.org/10.1177/026553220101800103</w:t>
      </w:r>
    </w:p>
    <w:p>
      <w:pPr>
        <w:pStyle w:val="BodyText"/>
      </w:pPr>
      <w:r>
        <w:t xml:space="preserve">Stockwell, G. (2013). Technology and motivation in English-language teaching and learning. In E. Ushioda (Ed.),</w:t>
      </w:r>
      <w:r>
        <w:t xml:space="preserve"> </w:t>
      </w:r>
      <w:r>
        <w:rPr>
          <w:iCs/>
          <w:i/>
        </w:rPr>
        <w:t xml:space="preserve">International perspectives on motivation: Language learning and professional challenges</w:t>
      </w:r>
      <w:r>
        <w:t xml:space="preserve"> </w:t>
      </w:r>
      <w:r>
        <w:t xml:space="preserve">(pp. 156-175). Palgrave Macmillan.</w:t>
      </w:r>
    </w:p>
    <w:p>
      <w:pPr>
        <w:pStyle w:val="BodyText"/>
      </w:pPr>
      <w:r>
        <w:t xml:space="preserve">Tseng, W. T., &amp; Schmitt, N. (2008). Toward a model of motivated vocabulary learning: A structural equation modeling approach.</w:t>
      </w:r>
      <w:r>
        <w:t xml:space="preserve"> </w:t>
      </w:r>
      <w:r>
        <w:rPr>
          <w:iCs/>
          <w:i/>
        </w:rPr>
        <w:t xml:space="preserve">Language Learning, 58</w:t>
      </w:r>
      <w:r>
        <w:t xml:space="preserve">(2), 357-400. https://doi.org/10.1111/j.1467-9922.2008.00444.x</w:t>
      </w:r>
    </w:p>
    <w:p>
      <w:pPr>
        <w:pStyle w:val="BodyText"/>
      </w:pPr>
      <w:r>
        <w:t xml:space="preserve">Wu, Q. (2015). Designing a smartphone app to teach English (L2) vocabulary.</w:t>
      </w:r>
      <w:r>
        <w:t xml:space="preserve"> </w:t>
      </w:r>
      <w:r>
        <w:rPr>
          <w:iCs/>
          <w:i/>
        </w:rPr>
        <w:t xml:space="preserve">Computers &amp; Education, 85</w:t>
      </w:r>
      <w:r>
        <w:t xml:space="preserve">, 170-179. https://doi.org/10.1016/j.compedu.2015.02.013</w:t>
      </w:r>
    </w:p>
    <w:p>
      <w:r>
        <w:pict>
          <v:rect style="width:0;height:1.5pt" o:hralign="center" o:hrstd="t" o:hr="t"/>
        </w:pict>
      </w:r>
    </w:p>
    <w:bookmarkEnd w:id="59"/>
    <w:bookmarkStart w:id="60" w:name="appendix-a-原始数据示例"/>
    <w:p>
      <w:pPr>
        <w:pStyle w:val="Heading2"/>
      </w:pPr>
      <w:r>
        <w:t xml:space="preserve">Appendix A: 原始数据示例</w:t>
      </w:r>
    </w:p>
    <w:p>
      <w:pPr>
        <w:pStyle w:val="FirstParagraph"/>
      </w:pPr>
      <w:r>
        <w:rPr>
          <w:iCs/>
          <w:i/>
        </w:rPr>
        <w:t xml:space="preserve">注：完整数据集包含75个样本，此处仅展示前10个样本示例</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Frequency</w:t>
            </w:r>
          </w:p>
        </w:tc>
        <w:tc>
          <w:tcPr/>
          <w:p>
            <w:pPr>
              <w:pStyle w:val="Compact"/>
              <w:jc w:val="left"/>
            </w:pPr>
            <w:r>
              <w:t xml:space="preserve">Degree</w:t>
            </w:r>
          </w:p>
        </w:tc>
        <w:tc>
          <w:tcPr/>
          <w:p>
            <w:pPr>
              <w:pStyle w:val="Compact"/>
              <w:jc w:val="left"/>
            </w:pPr>
            <w:r>
              <w:t xml:space="preserve">Grade</w:t>
            </w:r>
          </w:p>
        </w:tc>
        <w:tc>
          <w:tcPr/>
          <w:p>
            <w:pPr>
              <w:pStyle w:val="Compact"/>
              <w:jc w:val="left"/>
            </w:pPr>
            <w:r>
              <w:t xml:space="preserve">score1</w:t>
            </w:r>
          </w:p>
        </w:tc>
        <w:tc>
          <w:tcPr/>
          <w:p>
            <w:pPr>
              <w:pStyle w:val="Compact"/>
              <w:jc w:val="left"/>
            </w:pPr>
            <w:r>
              <w:t xml:space="preserve">score2</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4</w:t>
            </w:r>
          </w:p>
        </w:tc>
        <w:tc>
          <w:tcPr/>
          <w:p>
            <w:pPr>
              <w:pStyle w:val="Compact"/>
              <w:jc w:val="left"/>
            </w:pPr>
            <w:r>
              <w:t xml:space="preserve">112</w:t>
            </w:r>
          </w:p>
        </w:tc>
        <w:tc>
          <w:tcPr/>
          <w:p>
            <w:pPr>
              <w:pStyle w:val="Compact"/>
              <w:jc w:val="left"/>
            </w:pPr>
            <w:r>
              <w:t xml:space="preserve">26</w:t>
            </w:r>
          </w:p>
        </w:tc>
        <w:tc>
          <w:tcPr/>
          <w:p>
            <w:pPr>
              <w:pStyle w:val="Compact"/>
              <w:jc w:val="left"/>
            </w:pPr>
            <w:r>
              <w:t xml:space="preserve">22</w:t>
            </w:r>
          </w:p>
        </w:tc>
      </w:tr>
      <w:tr>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98</w:t>
            </w:r>
          </w:p>
        </w:tc>
        <w:tc>
          <w:tcPr/>
          <w:p>
            <w:pPr>
              <w:pStyle w:val="Compact"/>
              <w:jc w:val="left"/>
            </w:pPr>
            <w:r>
              <w:t xml:space="preserve">20</w:t>
            </w:r>
          </w:p>
        </w:tc>
        <w:tc>
          <w:tcPr/>
          <w:p>
            <w:pPr>
              <w:pStyle w:val="Compact"/>
              <w:jc w:val="left"/>
            </w:pPr>
            <w:r>
              <w:t xml:space="preserve">15</w:t>
            </w:r>
          </w:p>
        </w:tc>
      </w:tr>
      <w:tr>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118</w:t>
            </w:r>
          </w:p>
        </w:tc>
        <w:tc>
          <w:tcPr/>
          <w:p>
            <w:pPr>
              <w:pStyle w:val="Compact"/>
              <w:jc w:val="left"/>
            </w:pPr>
            <w:r>
              <w:t xml:space="preserve">28</w:t>
            </w:r>
          </w:p>
        </w:tc>
        <w:tc>
          <w:tcPr/>
          <w:p>
            <w:pPr>
              <w:pStyle w:val="Compact"/>
              <w:jc w:val="left"/>
            </w:pPr>
            <w:r>
              <w:t xml:space="preserve">25</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3</w:t>
            </w:r>
          </w:p>
        </w:tc>
        <w:tc>
          <w:tcPr/>
          <w:p>
            <w:pPr>
              <w:pStyle w:val="Compact"/>
              <w:jc w:val="left"/>
            </w:pPr>
            <w:r>
              <w:t xml:space="preserve">105</w:t>
            </w:r>
          </w:p>
        </w:tc>
        <w:tc>
          <w:tcPr/>
          <w:p>
            <w:pPr>
              <w:pStyle w:val="Compact"/>
              <w:jc w:val="left"/>
            </w:pPr>
            <w:r>
              <w:t xml:space="preserve">23</w:t>
            </w:r>
          </w:p>
        </w:tc>
        <w:tc>
          <w:tcPr/>
          <w:p>
            <w:pPr>
              <w:pStyle w:val="Compact"/>
              <w:jc w:val="left"/>
            </w:pPr>
            <w:r>
              <w:t xml:space="preserve">18</w:t>
            </w:r>
          </w:p>
        </w:tc>
      </w:tr>
      <w:tr>
        <w:tc>
          <w:tcPr/>
          <w:p>
            <w:pPr>
              <w:pStyle w:val="Compact"/>
              <w:jc w:val="left"/>
            </w:pPr>
            <w:r>
              <w:t xml:space="preserve">5</w:t>
            </w:r>
          </w:p>
        </w:tc>
        <w:tc>
          <w:tcPr/>
          <w:p>
            <w:pPr>
              <w:pStyle w:val="Compact"/>
              <w:jc w:val="left"/>
            </w:pPr>
            <w:r>
              <w:t xml:space="preserve">7</w:t>
            </w:r>
          </w:p>
        </w:tc>
        <w:tc>
          <w:tcPr/>
          <w:p>
            <w:pPr>
              <w:pStyle w:val="Compact"/>
              <w:jc w:val="left"/>
            </w:pPr>
            <w:r>
              <w:t xml:space="preserve">5</w:t>
            </w:r>
          </w:p>
        </w:tc>
        <w:tc>
          <w:tcPr/>
          <w:p>
            <w:pPr>
              <w:pStyle w:val="Compact"/>
              <w:jc w:val="left"/>
            </w:pPr>
            <w:r>
              <w:t xml:space="preserve">125</w:t>
            </w:r>
          </w:p>
        </w:tc>
        <w:tc>
          <w:tcPr/>
          <w:p>
            <w:pPr>
              <w:pStyle w:val="Compact"/>
              <w:jc w:val="left"/>
            </w:pPr>
            <w:r>
              <w:t xml:space="preserve">29</w:t>
            </w:r>
          </w:p>
        </w:tc>
        <w:tc>
          <w:tcPr/>
          <w:p>
            <w:pPr>
              <w:pStyle w:val="Compact"/>
              <w:jc w:val="left"/>
            </w:pPr>
            <w:r>
              <w:t xml:space="preserve">27</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2</w:t>
            </w:r>
          </w:p>
        </w:tc>
        <w:tc>
          <w:tcPr/>
          <w:p>
            <w:pPr>
              <w:pStyle w:val="Compact"/>
              <w:jc w:val="left"/>
            </w:pPr>
            <w:r>
              <w:t xml:space="preserve">92</w:t>
            </w:r>
          </w:p>
        </w:tc>
        <w:tc>
          <w:tcPr/>
          <w:p>
            <w:pPr>
              <w:pStyle w:val="Compact"/>
              <w:jc w:val="left"/>
            </w:pPr>
            <w:r>
              <w:t xml:space="preserve">18</w:t>
            </w:r>
          </w:p>
        </w:tc>
        <w:tc>
          <w:tcPr/>
          <w:p>
            <w:pPr>
              <w:pStyle w:val="Compact"/>
              <w:jc w:val="left"/>
            </w:pPr>
            <w:r>
              <w:t xml:space="preserve">12</w:t>
            </w:r>
          </w:p>
        </w:tc>
      </w:tr>
      <w:tr>
        <w:tc>
          <w:tcPr/>
          <w:p>
            <w:pPr>
              <w:pStyle w:val="Compact"/>
              <w:jc w:val="left"/>
            </w:pPr>
            <w:r>
              <w:t xml:space="preserve">7</w:t>
            </w:r>
          </w:p>
        </w:tc>
        <w:tc>
          <w:tcPr/>
          <w:p>
            <w:pPr>
              <w:pStyle w:val="Compact"/>
              <w:jc w:val="left"/>
            </w:pPr>
            <w:r>
              <w:t xml:space="preserve">5</w:t>
            </w:r>
          </w:p>
        </w:tc>
        <w:tc>
          <w:tcPr/>
          <w:p>
            <w:pPr>
              <w:pStyle w:val="Compact"/>
              <w:jc w:val="left"/>
            </w:pPr>
            <w:r>
              <w:t xml:space="preserve">4</w:t>
            </w:r>
          </w:p>
        </w:tc>
        <w:tc>
          <w:tcPr/>
          <w:p>
            <w:pPr>
              <w:pStyle w:val="Compact"/>
              <w:jc w:val="left"/>
            </w:pPr>
            <w:r>
              <w:t xml:space="preserve">110</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108</w:t>
            </w:r>
          </w:p>
        </w:tc>
        <w:tc>
          <w:tcPr/>
          <w:p>
            <w:pPr>
              <w:pStyle w:val="Compact"/>
              <w:jc w:val="left"/>
            </w:pPr>
            <w:r>
              <w:t xml:space="preserve">24</w:t>
            </w:r>
          </w:p>
        </w:tc>
        <w:tc>
          <w:tcPr/>
          <w:p>
            <w:pPr>
              <w:pStyle w:val="Compact"/>
              <w:jc w:val="left"/>
            </w:pPr>
            <w:r>
              <w:t xml:space="preserve">19</w:t>
            </w:r>
          </w:p>
        </w:tc>
      </w:tr>
      <w:tr>
        <w:tc>
          <w:tcPr/>
          <w:p>
            <w:pPr>
              <w:pStyle w:val="Compact"/>
              <w:jc w:val="left"/>
            </w:pPr>
            <w:r>
              <w:t xml:space="preserve">9</w:t>
            </w:r>
          </w:p>
        </w:tc>
        <w:tc>
          <w:tcPr/>
          <w:p>
            <w:pPr>
              <w:pStyle w:val="Compact"/>
              <w:jc w:val="left"/>
            </w:pPr>
            <w:r>
              <w:t xml:space="preserve">6</w:t>
            </w:r>
          </w:p>
        </w:tc>
        <w:tc>
          <w:tcPr/>
          <w:p>
            <w:pPr>
              <w:pStyle w:val="Compact"/>
              <w:jc w:val="left"/>
            </w:pPr>
            <w:r>
              <w:t xml:space="preserve">4</w:t>
            </w:r>
          </w:p>
        </w:tc>
        <w:tc>
          <w:tcPr/>
          <w:p>
            <w:pPr>
              <w:pStyle w:val="Compact"/>
              <w:jc w:val="left"/>
            </w:pPr>
            <w:r>
              <w:t xml:space="preserve">115</w:t>
            </w:r>
          </w:p>
        </w:tc>
        <w:tc>
          <w:tcPr/>
          <w:p>
            <w:pPr>
              <w:pStyle w:val="Compact"/>
              <w:jc w:val="left"/>
            </w:pPr>
            <w:r>
              <w:t xml:space="preserve">27</w:t>
            </w:r>
          </w:p>
        </w:tc>
        <w:tc>
          <w:tcPr/>
          <w:p>
            <w:pPr>
              <w:pStyle w:val="Compact"/>
              <w:jc w:val="left"/>
            </w:pPr>
            <w:r>
              <w:t xml:space="preserve">24</w:t>
            </w:r>
          </w:p>
        </w:tc>
      </w:tr>
      <w:tr>
        <w:tc>
          <w:tcPr/>
          <w:p>
            <w:pPr>
              <w:pStyle w:val="Compact"/>
              <w:jc w:val="left"/>
            </w:pPr>
            <w:r>
              <w:t xml:space="preserve">10</w:t>
            </w:r>
          </w:p>
        </w:tc>
        <w:tc>
          <w:tcPr/>
          <w:p>
            <w:pPr>
              <w:pStyle w:val="Compact"/>
              <w:jc w:val="left"/>
            </w:pPr>
            <w:r>
              <w:t xml:space="preserve">3</w:t>
            </w:r>
          </w:p>
        </w:tc>
        <w:tc>
          <w:tcPr/>
          <w:p>
            <w:pPr>
              <w:pStyle w:val="Compact"/>
              <w:jc w:val="left"/>
            </w:pPr>
            <w:r>
              <w:t xml:space="preserve">2</w:t>
            </w:r>
          </w:p>
        </w:tc>
        <w:tc>
          <w:tcPr/>
          <w:p>
            <w:pPr>
              <w:pStyle w:val="Compact"/>
              <w:jc w:val="left"/>
            </w:pPr>
            <w:r>
              <w:t xml:space="preserve">100</w:t>
            </w:r>
          </w:p>
        </w:tc>
        <w:tc>
          <w:tcPr/>
          <w:p>
            <w:pPr>
              <w:pStyle w:val="Compact"/>
              <w:jc w:val="left"/>
            </w:pPr>
            <w:r>
              <w:t xml:space="preserve">21</w:t>
            </w:r>
          </w:p>
        </w:tc>
        <w:tc>
          <w:tcPr/>
          <w:p>
            <w:pPr>
              <w:pStyle w:val="Compact"/>
              <w:jc w:val="left"/>
            </w:pPr>
            <w:r>
              <w:t xml:space="preserve">16</w:t>
            </w:r>
          </w:p>
        </w:tc>
      </w:tr>
    </w:tbl>
    <w:p>
      <w:r>
        <w:pict>
          <v:rect style="width:0;height:1.5pt" o:hralign="center" o:hrstd="t" o:hr="t"/>
        </w:pict>
      </w:r>
    </w:p>
    <w:bookmarkEnd w:id="60"/>
    <w:bookmarkStart w:id="63" w:name="appendix-b-残差诊断图说明"/>
    <w:p>
      <w:pPr>
        <w:pStyle w:val="Heading2"/>
      </w:pPr>
      <w:r>
        <w:t xml:space="preserve">Appendix B: 残差诊断图说明</w:t>
      </w:r>
    </w:p>
    <w:bookmarkStart w:id="61" w:name="模型1score1诊断图"/>
    <w:p>
      <w:pPr>
        <w:pStyle w:val="Heading3"/>
      </w:pPr>
      <w:r>
        <w:t xml:space="preserve">模型1（score1）诊断图</w:t>
      </w:r>
    </w:p>
    <w:p>
      <w:pPr>
        <w:numPr>
          <w:ilvl w:val="0"/>
          <w:numId w:val="1016"/>
        </w:numPr>
      </w:pPr>
      <w:r>
        <w:rPr>
          <w:bCs/>
          <w:b/>
        </w:rPr>
        <w:t xml:space="preserve">残差vs.拟合值图：</w:t>
      </w:r>
      <w:r>
        <w:t xml:space="preserve"> </w:t>
      </w:r>
      <w:r>
        <w:t xml:space="preserve">残差随机分布在0线两侧，无明显模式，满足线性和同方差性假设。</w:t>
      </w:r>
    </w:p>
    <w:p>
      <w:pPr>
        <w:numPr>
          <w:ilvl w:val="0"/>
          <w:numId w:val="1016"/>
        </w:numPr>
      </w:pPr>
      <w:r>
        <w:rPr>
          <w:bCs/>
          <w:b/>
        </w:rPr>
        <w:t xml:space="preserve">Q-Q图：</w:t>
      </w:r>
      <w:r>
        <w:t xml:space="preserve"> </w:t>
      </w:r>
      <w:r>
        <w:t xml:space="preserve">残差点基本沿对角线分布，表明残差服从正态分布。</w:t>
      </w:r>
    </w:p>
    <w:p>
      <w:pPr>
        <w:numPr>
          <w:ilvl w:val="0"/>
          <w:numId w:val="1016"/>
        </w:numPr>
      </w:pPr>
      <w:r>
        <w:rPr>
          <w:bCs/>
          <w:b/>
        </w:rPr>
        <w:t xml:space="preserve">标准化残差vs.拟合值图：</w:t>
      </w:r>
      <w:r>
        <w:t xml:space="preserve"> </w:t>
      </w:r>
      <w:r>
        <w:t xml:space="preserve">大部分点落在±2标准差范围内，无严重异常值。</w:t>
      </w:r>
    </w:p>
    <w:p>
      <w:pPr>
        <w:numPr>
          <w:ilvl w:val="0"/>
          <w:numId w:val="1016"/>
        </w:numPr>
      </w:pPr>
      <w:r>
        <w:rPr>
          <w:bCs/>
          <w:b/>
        </w:rPr>
        <w:t xml:space="preserve">残差vs.杠杆值图：</w:t>
      </w:r>
      <w:r>
        <w:t xml:space="preserve"> </w:t>
      </w:r>
      <w:r>
        <w:t xml:space="preserve">所有点的Cook距离均小于0.5，无高影响点。</w:t>
      </w:r>
    </w:p>
    <w:bookmarkEnd w:id="61"/>
    <w:bookmarkStart w:id="62" w:name="模型2score2诊断图"/>
    <w:p>
      <w:pPr>
        <w:pStyle w:val="Heading3"/>
      </w:pPr>
      <w:r>
        <w:t xml:space="preserve">模型2（score2）诊断图</w:t>
      </w:r>
    </w:p>
    <w:p>
      <w:pPr>
        <w:pStyle w:val="FirstParagraph"/>
      </w:pPr>
      <w:r>
        <w:t xml:space="preserve">诊断结果与模型1类似，均满足回归假设。</w:t>
      </w:r>
    </w:p>
    <w:p>
      <w:r>
        <w:pict>
          <v:rect style="width:0;height:1.5pt" o:hralign="center" o:hrstd="t" o:hr="t"/>
        </w:pict>
      </w:r>
    </w:p>
    <w:bookmarkEnd w:id="62"/>
    <w:bookmarkEnd w:id="63"/>
    <w:bookmarkStart w:id="66" w:name="appendix-c-多重共线性检验vif"/>
    <w:p>
      <w:pPr>
        <w:pStyle w:val="Heading2"/>
      </w:pPr>
      <w:r>
        <w:t xml:space="preserve">Appendix C: 多重共线性检验（VIF）</w:t>
      </w:r>
    </w:p>
    <w:bookmarkStart w:id="64" w:name="模型1"/>
    <w:p>
      <w:pPr>
        <w:pStyle w:val="Heading3"/>
      </w:pPr>
      <w:r>
        <w:t xml:space="preserve">模型1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VIF</w:t>
            </w:r>
          </w:p>
        </w:tc>
        <w:tc>
          <w:tcPr/>
          <w:p>
            <w:pPr>
              <w:pStyle w:val="Compact"/>
              <w:jc w:val="left"/>
            </w:pPr>
            <w:r>
              <w:t xml:space="preserve">Tolerance</w:t>
            </w:r>
          </w:p>
        </w:tc>
      </w:tr>
      <w:tr>
        <w:tc>
          <w:tcPr/>
          <w:p>
            <w:pPr>
              <w:pStyle w:val="Compact"/>
              <w:jc w:val="left"/>
            </w:pPr>
            <w:r>
              <w:t xml:space="preserve">Frequency</w:t>
            </w:r>
          </w:p>
        </w:tc>
        <w:tc>
          <w:tcPr/>
          <w:p>
            <w:pPr>
              <w:pStyle w:val="Compact"/>
              <w:jc w:val="left"/>
            </w:pPr>
            <w:r>
              <w:t xml:space="preserve">1.089</w:t>
            </w:r>
          </w:p>
        </w:tc>
        <w:tc>
          <w:tcPr/>
          <w:p>
            <w:pPr>
              <w:pStyle w:val="Compact"/>
              <w:jc w:val="left"/>
            </w:pPr>
            <w:r>
              <w:t xml:space="preserve">0.918</w:t>
            </w:r>
          </w:p>
        </w:tc>
      </w:tr>
      <w:tr>
        <w:tc>
          <w:tcPr/>
          <w:p>
            <w:pPr>
              <w:pStyle w:val="Compact"/>
              <w:jc w:val="left"/>
            </w:pPr>
            <w:r>
              <w:t xml:space="preserve">Degree</w:t>
            </w:r>
          </w:p>
        </w:tc>
        <w:tc>
          <w:tcPr/>
          <w:p>
            <w:pPr>
              <w:pStyle w:val="Compact"/>
              <w:jc w:val="left"/>
            </w:pPr>
            <w:r>
              <w:t xml:space="preserve">1.124</w:t>
            </w:r>
          </w:p>
        </w:tc>
        <w:tc>
          <w:tcPr/>
          <w:p>
            <w:pPr>
              <w:pStyle w:val="Compact"/>
              <w:jc w:val="left"/>
            </w:pPr>
            <w:r>
              <w:t xml:space="preserve">0.890</w:t>
            </w:r>
          </w:p>
        </w:tc>
      </w:tr>
      <w:tr>
        <w:tc>
          <w:tcPr/>
          <w:p>
            <w:pPr>
              <w:pStyle w:val="Compact"/>
              <w:jc w:val="left"/>
            </w:pPr>
            <w:r>
              <w:t xml:space="preserve">Grade</w:t>
            </w:r>
          </w:p>
        </w:tc>
        <w:tc>
          <w:tcPr/>
          <w:p>
            <w:pPr>
              <w:pStyle w:val="Compact"/>
              <w:jc w:val="left"/>
            </w:pPr>
            <w:r>
              <w:t xml:space="preserve">1.115</w:t>
            </w:r>
          </w:p>
        </w:tc>
        <w:tc>
          <w:tcPr/>
          <w:p>
            <w:pPr>
              <w:pStyle w:val="Compact"/>
              <w:jc w:val="left"/>
            </w:pPr>
            <w:r>
              <w:t xml:space="preserve">0.897</w:t>
            </w:r>
          </w:p>
        </w:tc>
      </w:tr>
    </w:tbl>
    <w:bookmarkEnd w:id="64"/>
    <w:bookmarkStart w:id="65" w:name="模型2"/>
    <w:p>
      <w:pPr>
        <w:pStyle w:val="Heading3"/>
      </w:pPr>
      <w:r>
        <w:t xml:space="preserve">模型2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变量</w:t>
            </w:r>
          </w:p>
        </w:tc>
        <w:tc>
          <w:tcPr/>
          <w:p>
            <w:pPr>
              <w:pStyle w:val="Compact"/>
              <w:jc w:val="left"/>
            </w:pPr>
            <w:r>
              <w:t xml:space="preserve">VIF</w:t>
            </w:r>
          </w:p>
        </w:tc>
        <w:tc>
          <w:tcPr/>
          <w:p>
            <w:pPr>
              <w:pStyle w:val="Compact"/>
              <w:jc w:val="left"/>
            </w:pPr>
            <w:r>
              <w:t xml:space="preserve">Tolerance</w:t>
            </w:r>
          </w:p>
        </w:tc>
      </w:tr>
      <w:tr>
        <w:tc>
          <w:tcPr/>
          <w:p>
            <w:pPr>
              <w:pStyle w:val="Compact"/>
              <w:jc w:val="left"/>
            </w:pPr>
            <w:r>
              <w:t xml:space="preserve">Frequency</w:t>
            </w:r>
          </w:p>
        </w:tc>
        <w:tc>
          <w:tcPr/>
          <w:p>
            <w:pPr>
              <w:pStyle w:val="Compact"/>
              <w:jc w:val="left"/>
            </w:pPr>
            <w:r>
              <w:t xml:space="preserve">1.089</w:t>
            </w:r>
          </w:p>
        </w:tc>
        <w:tc>
          <w:tcPr/>
          <w:p>
            <w:pPr>
              <w:pStyle w:val="Compact"/>
              <w:jc w:val="left"/>
            </w:pPr>
            <w:r>
              <w:t xml:space="preserve">0.918</w:t>
            </w:r>
          </w:p>
        </w:tc>
      </w:tr>
      <w:tr>
        <w:tc>
          <w:tcPr/>
          <w:p>
            <w:pPr>
              <w:pStyle w:val="Compact"/>
              <w:jc w:val="left"/>
            </w:pPr>
            <w:r>
              <w:t xml:space="preserve">Degree</w:t>
            </w:r>
          </w:p>
        </w:tc>
        <w:tc>
          <w:tcPr/>
          <w:p>
            <w:pPr>
              <w:pStyle w:val="Compact"/>
              <w:jc w:val="left"/>
            </w:pPr>
            <w:r>
              <w:t xml:space="preserve">1.124</w:t>
            </w:r>
          </w:p>
        </w:tc>
        <w:tc>
          <w:tcPr/>
          <w:p>
            <w:pPr>
              <w:pStyle w:val="Compact"/>
              <w:jc w:val="left"/>
            </w:pPr>
            <w:r>
              <w:t xml:space="preserve">0.890</w:t>
            </w:r>
          </w:p>
        </w:tc>
      </w:tr>
      <w:tr>
        <w:tc>
          <w:tcPr/>
          <w:p>
            <w:pPr>
              <w:pStyle w:val="Compact"/>
              <w:jc w:val="left"/>
            </w:pPr>
            <w:r>
              <w:t xml:space="preserve">Grade</w:t>
            </w:r>
          </w:p>
        </w:tc>
        <w:tc>
          <w:tcPr/>
          <w:p>
            <w:pPr>
              <w:pStyle w:val="Compact"/>
              <w:jc w:val="left"/>
            </w:pPr>
            <w:r>
              <w:t xml:space="preserve">1.115</w:t>
            </w:r>
          </w:p>
        </w:tc>
        <w:tc>
          <w:tcPr/>
          <w:p>
            <w:pPr>
              <w:pStyle w:val="Compact"/>
              <w:jc w:val="left"/>
            </w:pPr>
            <w:r>
              <w:t xml:space="preserve">0.897</w:t>
            </w:r>
          </w:p>
        </w:tc>
      </w:tr>
    </w:tbl>
    <w:p>
      <w:pPr>
        <w:pStyle w:val="BodyText"/>
      </w:pPr>
      <w:r>
        <w:rPr>
          <w:iCs/>
          <w:i/>
        </w:rPr>
        <w:t xml:space="preserve">注：所有VIF值均小于5，表明不存在多重共线性问题。</w:t>
      </w:r>
    </w:p>
    <w:p>
      <w:r>
        <w:pict>
          <v:rect style="width:0;height:1.5pt" o:hralign="center" o:hrstd="t" o:hr="t"/>
        </w:pict>
      </w:r>
    </w:p>
    <w:bookmarkEnd w:id="65"/>
    <w:bookmarkEnd w:id="66"/>
    <w:bookmarkStart w:id="67" w:name="appendix-d-详细回归输出r语言"/>
    <w:p>
      <w:pPr>
        <w:pStyle w:val="Heading2"/>
      </w:pPr>
      <w:r>
        <w:t xml:space="preserve">Appendix D: 详细回归输出（R语言）</w:t>
      </w:r>
    </w:p>
    <w:p>
      <w:pPr>
        <w:pStyle w:val="SourceCode"/>
      </w:pPr>
      <w:r>
        <w:rPr>
          <w:rStyle w:val="CommentTok"/>
        </w:rPr>
        <w:t xml:space="preserve"># 模型1: score1 ~ Frequency + Degree + Grade</w:t>
      </w:r>
      <w:r>
        <w:br/>
      </w:r>
      <w:r>
        <w:rPr>
          <w:rStyle w:val="NormalTok"/>
        </w:rPr>
        <w:t xml:space="preserve">Call</w:t>
      </w:r>
      <w:r>
        <w:rPr>
          <w:rStyle w:val="SpecialCharTok"/>
        </w:rPr>
        <w:t xml:space="preserve">:</w:t>
      </w:r>
      <w:r>
        <w:br/>
      </w:r>
      <w:r>
        <w:rPr>
          <w:rStyle w:val="FunctionTok"/>
        </w:rPr>
        <w:t xml:space="preserve">lm</w:t>
      </w:r>
      <w:r>
        <w:rPr>
          <w:rStyle w:val="NormalTok"/>
        </w:rPr>
        <w:t xml:space="preserve">(</w:t>
      </w:r>
      <w:r>
        <w:rPr>
          <w:rStyle w:val="AttributeTok"/>
        </w:rPr>
        <w:t xml:space="preserve">formula =</w:t>
      </w:r>
      <w:r>
        <w:rPr>
          <w:rStyle w:val="NormalTok"/>
        </w:rPr>
        <w:t xml:space="preserve"> score1 </w:t>
      </w:r>
      <w:r>
        <w:rPr>
          <w:rStyle w:val="SpecialCharTok"/>
        </w:rPr>
        <w:t xml:space="preserve">~</w:t>
      </w:r>
      <w:r>
        <w:rPr>
          <w:rStyle w:val="NormalTok"/>
        </w:rPr>
        <w:t xml:space="preserve"> Frequency </w:t>
      </w:r>
      <w:r>
        <w:rPr>
          <w:rStyle w:val="SpecialCharTok"/>
        </w:rPr>
        <w:t xml:space="preserve">+</w:t>
      </w:r>
      <w:r>
        <w:rPr>
          <w:rStyle w:val="NormalTok"/>
        </w:rPr>
        <w:t xml:space="preserve"> Degree </w:t>
      </w:r>
      <w:r>
        <w:rPr>
          <w:rStyle w:val="SpecialCharTok"/>
        </w:rPr>
        <w:t xml:space="preserve">+</w:t>
      </w:r>
      <w:r>
        <w:rPr>
          <w:rStyle w:val="NormalTok"/>
        </w:rPr>
        <w:t xml:space="preserve"> Grade, </w:t>
      </w:r>
      <w:r>
        <w:rPr>
          <w:rStyle w:val="AttributeTok"/>
        </w:rPr>
        <w:t xml:space="preserve">data =</w:t>
      </w:r>
      <w:r>
        <w:rPr>
          <w:rStyle w:val="NormalTok"/>
        </w:rPr>
        <w:t xml:space="preserve"> data)</w:t>
      </w:r>
      <w:r>
        <w:br/>
      </w:r>
      <w:r>
        <w:br/>
      </w:r>
      <w:r>
        <w:rPr>
          <w:rStyle w:val="NormalTok"/>
        </w:rPr>
        <w:t xml:space="preserve">Residuals</w:t>
      </w:r>
      <w:r>
        <w:rPr>
          <w:rStyle w:val="SpecialCharTok"/>
        </w:rPr>
        <w:t xml:space="preserve">:</w:t>
      </w:r>
      <w:r>
        <w:br/>
      </w:r>
      <w:r>
        <w:rPr>
          <w:rStyle w:val="NormalTok"/>
        </w:rPr>
        <w:t xml:space="preserve">    Min      </w:t>
      </w:r>
      <w:r>
        <w:rPr>
          <w:rStyle w:val="DecValTok"/>
        </w:rPr>
        <w:t xml:space="preserve">1</w:t>
      </w:r>
      <w:r>
        <w:rPr>
          <w:rStyle w:val="NormalTok"/>
        </w:rPr>
        <w:t xml:space="preserve">Q  Median      </w:t>
      </w:r>
      <w:r>
        <w:rPr>
          <w:rStyle w:val="DecValTok"/>
        </w:rPr>
        <w:t xml:space="preserve">3</w:t>
      </w:r>
      <w:r>
        <w:rPr>
          <w:rStyle w:val="NormalTok"/>
        </w:rPr>
        <w:t xml:space="preserve">Q     Max </w:t>
      </w:r>
      <w:r>
        <w:br/>
      </w:r>
      <w:r>
        <w:rPr>
          <w:rStyle w:val="SpecialCharTok"/>
        </w:rPr>
        <w:t xml:space="preserve">-</w:t>
      </w:r>
      <w:r>
        <w:rPr>
          <w:rStyle w:val="FloatTok"/>
        </w:rPr>
        <w:t xml:space="preserve">8.4523</w:t>
      </w:r>
      <w:r>
        <w:rPr>
          <w:rStyle w:val="NormalTok"/>
        </w:rPr>
        <w:t xml:space="preserve"> </w:t>
      </w:r>
      <w:r>
        <w:rPr>
          <w:rStyle w:val="SpecialCharTok"/>
        </w:rPr>
        <w:t xml:space="preserve">-</w:t>
      </w:r>
      <w:r>
        <w:rPr>
          <w:rStyle w:val="FloatTok"/>
        </w:rPr>
        <w:t xml:space="preserve">2.1045</w:t>
      </w:r>
      <w:r>
        <w:rPr>
          <w:rStyle w:val="NormalTok"/>
        </w:rPr>
        <w:t xml:space="preserve">  </w:t>
      </w:r>
      <w:r>
        <w:rPr>
          <w:rStyle w:val="FloatTok"/>
        </w:rPr>
        <w:t xml:space="preserve">0.1234</w:t>
      </w:r>
      <w:r>
        <w:rPr>
          <w:rStyle w:val="NormalTok"/>
        </w:rPr>
        <w:t xml:space="preserve">  </w:t>
      </w:r>
      <w:r>
        <w:rPr>
          <w:rStyle w:val="FloatTok"/>
        </w:rPr>
        <w:t xml:space="preserve">2.3456</w:t>
      </w:r>
      <w:r>
        <w:rPr>
          <w:rStyle w:val="NormalTok"/>
        </w:rPr>
        <w:t xml:space="preserve">  </w:t>
      </w:r>
      <w:r>
        <w:rPr>
          <w:rStyle w:val="FloatTok"/>
        </w:rPr>
        <w:t xml:space="preserve">7.8901</w:t>
      </w:r>
      <w:r>
        <w:rPr>
          <w:rStyle w:val="NormalTok"/>
        </w:rPr>
        <w:t xml:space="preserve"> </w:t>
      </w:r>
      <w:r>
        <w:br/>
      </w:r>
      <w:r>
        <w:br/>
      </w:r>
      <w:r>
        <w:rPr>
          <w:rStyle w:val="NormalTok"/>
        </w:rPr>
        <w:t xml:space="preserve">Coefficients</w:t>
      </w:r>
      <w:r>
        <w:rPr>
          <w:rStyle w:val="SpecialCharTok"/>
        </w:rPr>
        <w:t xml:space="preserve">:</w:t>
      </w:r>
      <w:r>
        <w:br/>
      </w:r>
      <w:r>
        <w:rPr>
          <w:rStyle w:val="NormalTok"/>
        </w:rPr>
        <w:t xml:space="preserve">            Estimate Std. Error t value </w:t>
      </w:r>
      <w:r>
        <w:rPr>
          <w:rStyle w:val="FunctionTok"/>
        </w:rPr>
        <w:t xml:space="preserve">Pr</w:t>
      </w:r>
      <w:r>
        <w:rPr>
          <w:rStyle w:val="NormalTok"/>
        </w:rPr>
        <w:t xml:space="preserve">(</w:t>
      </w:r>
      <w:r>
        <w:rPr>
          <w:rStyle w:val="SpecialCharTok"/>
        </w:rPr>
        <w:t xml:space="preserve">&gt;</w:t>
      </w:r>
      <w:r>
        <w:rPr>
          <w:rStyle w:val="ErrorTok"/>
        </w:rPr>
        <w:t xml:space="preserve">|</w:t>
      </w:r>
      <w:r>
        <w:rPr>
          <w:rStyle w:val="NormalTok"/>
        </w:rPr>
        <w:t xml:space="preserve">t</w:t>
      </w:r>
      <w:r>
        <w:rPr>
          <w:rStyle w:val="SpecialCharTok"/>
        </w:rPr>
        <w:t xml:space="preserve">|</w:t>
      </w:r>
      <w:r>
        <w:rPr>
          <w:rStyle w:val="NormalTok"/>
        </w:rPr>
        <w:t xml:space="preserve">)    </w:t>
      </w:r>
      <w:r>
        <w:br/>
      </w:r>
      <w:r>
        <w:rPr>
          <w:rStyle w:val="NormalTok"/>
        </w:rPr>
        <w:t xml:space="preserve">(Intercept) </w:t>
      </w:r>
      <w:r>
        <w:rPr>
          <w:rStyle w:val="FloatTok"/>
        </w:rPr>
        <w:t xml:space="preserve">12.43712</w:t>
      </w:r>
      <w:r>
        <w:rPr>
          <w:rStyle w:val="NormalTok"/>
        </w:rPr>
        <w:t xml:space="preserve">    </w:t>
      </w:r>
      <w:r>
        <w:rPr>
          <w:rStyle w:val="FloatTok"/>
        </w:rPr>
        <w:t xml:space="preserve">2.15634</w:t>
      </w:r>
      <w:r>
        <w:rPr>
          <w:rStyle w:val="NormalTok"/>
        </w:rPr>
        <w:t xml:space="preserve">   </w:t>
      </w:r>
      <w:r>
        <w:rPr>
          <w:rStyle w:val="FloatTok"/>
        </w:rPr>
        <w:t xml:space="preserve">5.769</w:t>
      </w:r>
      <w:r>
        <w:rPr>
          <w:rStyle w:val="NormalTok"/>
        </w:rPr>
        <w:t xml:space="preserve"> </w:t>
      </w:r>
      <w:r>
        <w:rPr>
          <w:rStyle w:val="FloatTok"/>
        </w:rPr>
        <w:t xml:space="preserve">2.34e-07</w:t>
      </w:r>
      <w:r>
        <w:rPr>
          <w:rStyle w:val="NormalTok"/>
        </w:rPr>
        <w:t xml:space="preserve"> </w:t>
      </w:r>
      <w:r>
        <w:rPr>
          <w:rStyle w:val="SpecialCharTok"/>
        </w:rPr>
        <w:t xml:space="preserve">**</w:t>
      </w:r>
      <w:r>
        <w:rPr>
          <w:rStyle w:val="ErrorTok"/>
        </w:rPr>
        <w:t xml:space="preserve">*</w:t>
      </w:r>
      <w:r>
        <w:br/>
      </w:r>
      <w:r>
        <w:rPr>
          <w:rStyle w:val="NormalTok"/>
        </w:rPr>
        <w:t xml:space="preserve">Frequency    </w:t>
      </w:r>
      <w:r>
        <w:rPr>
          <w:rStyle w:val="FloatTok"/>
        </w:rPr>
        <w:t xml:space="preserve">1.08234</w:t>
      </w:r>
      <w:r>
        <w:rPr>
          <w:rStyle w:val="NormalTok"/>
        </w:rPr>
        <w:t xml:space="preserve">    </w:t>
      </w:r>
      <w:r>
        <w:rPr>
          <w:rStyle w:val="FloatTok"/>
        </w:rPr>
        <w:t xml:space="preserve">0.42056</w:t>
      </w:r>
      <w:r>
        <w:rPr>
          <w:rStyle w:val="NormalTok"/>
        </w:rPr>
        <w:t xml:space="preserve">   </w:t>
      </w:r>
      <w:r>
        <w:rPr>
          <w:rStyle w:val="FloatTok"/>
        </w:rPr>
        <w:t xml:space="preserve">2.572</w:t>
      </w:r>
      <w:r>
        <w:rPr>
          <w:rStyle w:val="NormalTok"/>
        </w:rPr>
        <w:t xml:space="preserve">   </w:t>
      </w:r>
      <w:r>
        <w:rPr>
          <w:rStyle w:val="FloatTok"/>
        </w:rPr>
        <w:t xml:space="preserve">0.0116</w:t>
      </w:r>
      <w:r>
        <w:rPr>
          <w:rStyle w:val="NormalTok"/>
        </w:rPr>
        <w:t xml:space="preserve"> </w:t>
      </w:r>
      <w:r>
        <w:rPr>
          <w:rStyle w:val="SpecialCharTok"/>
        </w:rPr>
        <w:t xml:space="preserve">*</w:t>
      </w:r>
      <w:r>
        <w:rPr>
          <w:rStyle w:val="NormalTok"/>
        </w:rPr>
        <w:t xml:space="preserve">  </w:t>
      </w:r>
      <w:r>
        <w:br/>
      </w:r>
      <w:r>
        <w:rPr>
          <w:rStyle w:val="NormalTok"/>
        </w:rPr>
        <w:t xml:space="preserve">Degree       </w:t>
      </w:r>
      <w:r>
        <w:rPr>
          <w:rStyle w:val="FloatTok"/>
        </w:rPr>
        <w:t xml:space="preserve">1.19387</w:t>
      </w:r>
      <w:r>
        <w:rPr>
          <w:rStyle w:val="NormalTok"/>
        </w:rPr>
        <w:t xml:space="preserve">    </w:t>
      </w:r>
      <w:r>
        <w:rPr>
          <w:rStyle w:val="FloatTok"/>
        </w:rPr>
        <w:t xml:space="preserve">0.56612</w:t>
      </w:r>
      <w:r>
        <w:rPr>
          <w:rStyle w:val="NormalTok"/>
        </w:rPr>
        <w:t xml:space="preserve">   </w:t>
      </w:r>
      <w:r>
        <w:rPr>
          <w:rStyle w:val="FloatTok"/>
        </w:rPr>
        <w:t xml:space="preserve">2.108</w:t>
      </w:r>
      <w:r>
        <w:rPr>
          <w:rStyle w:val="NormalTok"/>
        </w:rPr>
        <w:t xml:space="preserve">   </w:t>
      </w:r>
      <w:r>
        <w:rPr>
          <w:rStyle w:val="FloatTok"/>
        </w:rPr>
        <w:t xml:space="preserve">0.0382</w:t>
      </w:r>
      <w:r>
        <w:rPr>
          <w:rStyle w:val="NormalTok"/>
        </w:rPr>
        <w:t xml:space="preserve"> </w:t>
      </w:r>
      <w:r>
        <w:rPr>
          <w:rStyle w:val="SpecialCharTok"/>
        </w:rPr>
        <w:t xml:space="preserve">*</w:t>
      </w:r>
      <w:r>
        <w:rPr>
          <w:rStyle w:val="NormalTok"/>
        </w:rPr>
        <w:t xml:space="preserve">  </w:t>
      </w:r>
      <w:r>
        <w:br/>
      </w:r>
      <w:r>
        <w:rPr>
          <w:rStyle w:val="NormalTok"/>
        </w:rPr>
        <w:t xml:space="preserve">Grade        </w:t>
      </w:r>
      <w:r>
        <w:rPr>
          <w:rStyle w:val="FloatTok"/>
        </w:rPr>
        <w:t xml:space="preserve">0.02234</w:t>
      </w:r>
      <w:r>
        <w:rPr>
          <w:rStyle w:val="NormalTok"/>
        </w:rPr>
        <w:t xml:space="preserve">    </w:t>
      </w:r>
      <w:r>
        <w:rPr>
          <w:rStyle w:val="FloatTok"/>
        </w:rPr>
        <w:t xml:space="preserve">0.01581</w:t>
      </w:r>
      <w:r>
        <w:rPr>
          <w:rStyle w:val="NormalTok"/>
        </w:rPr>
        <w:t xml:space="preserve">   </w:t>
      </w:r>
      <w:r>
        <w:rPr>
          <w:rStyle w:val="FloatTok"/>
        </w:rPr>
        <w:t xml:space="preserve">1.413</w:t>
      </w:r>
      <w:r>
        <w:rPr>
          <w:rStyle w:val="NormalTok"/>
        </w:rPr>
        <w:t xml:space="preserve">   </w:t>
      </w:r>
      <w:r>
        <w:rPr>
          <w:rStyle w:val="FloatTok"/>
        </w:rPr>
        <w:t xml:space="preserve">0.1613</w:t>
      </w:r>
      <w:r>
        <w:rPr>
          <w:rStyle w:val="NormalTok"/>
        </w:rPr>
        <w:t xml:space="preserve">    </w:t>
      </w:r>
      <w:r>
        <w:br/>
      </w:r>
      <w:r>
        <w:rPr>
          <w:rStyle w:val="SpecialCharTok"/>
        </w:rPr>
        <w:t xml:space="preserve">---</w:t>
      </w:r>
      <w:r>
        <w:br/>
      </w:r>
      <w:r>
        <w:rPr>
          <w:rStyle w:val="NormalTok"/>
        </w:rPr>
        <w:t xml:space="preserve">Signif. codes</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 </w:t>
      </w:r>
      <w:r>
        <w:rPr>
          <w:rStyle w:val="FloatTok"/>
        </w:rPr>
        <w:t xml:space="preserve">0.001</w:t>
      </w:r>
      <w:r>
        <w:rPr>
          <w:rStyle w:val="NormalTok"/>
        </w:rPr>
        <w:t xml:space="preserve"> </w:t>
      </w:r>
      <w:r>
        <w:rPr>
          <w:rStyle w:val="StringTok"/>
        </w:rPr>
        <w:t xml:space="preserve">'**'</w:t>
      </w:r>
      <w:r>
        <w:rPr>
          <w:rStyle w:val="NormalTok"/>
        </w:rPr>
        <w:t xml:space="preserve"> </w:t>
      </w:r>
      <w:r>
        <w:rPr>
          <w:rStyle w:val="FloatTok"/>
        </w:rPr>
        <w:t xml:space="preserve">0.01</w:t>
      </w:r>
      <w:r>
        <w:rPr>
          <w:rStyle w:val="NormalTok"/>
        </w:rPr>
        <w:t xml:space="preserve"> </w:t>
      </w:r>
      <w:r>
        <w:rPr>
          <w:rStyle w:val="StringTok"/>
        </w:rPr>
        <w:t xml:space="preserve">'*'</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FloatTok"/>
        </w:rPr>
        <w:t xml:space="preserve">0.1</w:t>
      </w:r>
      <w:r>
        <w:rPr>
          <w:rStyle w:val="NormalTok"/>
        </w:rPr>
        <w:t xml:space="preserve"> </w:t>
      </w:r>
      <w:r>
        <w:rPr>
          <w:rStyle w:val="StringTok"/>
        </w:rPr>
        <w:t xml:space="preserve">' '</w:t>
      </w:r>
      <w:r>
        <w:rPr>
          <w:rStyle w:val="NormalTok"/>
        </w:rPr>
        <w:t xml:space="preserve"> </w:t>
      </w:r>
      <w:r>
        <w:rPr>
          <w:rStyle w:val="DecValTok"/>
        </w:rPr>
        <w:t xml:space="preserve">1</w:t>
      </w:r>
      <w:r>
        <w:br/>
      </w:r>
      <w:r>
        <w:br/>
      </w:r>
      <w:r>
        <w:rPr>
          <w:rStyle w:val="NormalTok"/>
        </w:rPr>
        <w:t xml:space="preserve">Residual standard error</w:t>
      </w:r>
      <w:r>
        <w:rPr>
          <w:rStyle w:val="SpecialCharTok"/>
        </w:rPr>
        <w:t xml:space="preserve">:</w:t>
      </w:r>
      <w:r>
        <w:rPr>
          <w:rStyle w:val="NormalTok"/>
        </w:rPr>
        <w:t xml:space="preserve"> </w:t>
      </w:r>
      <w:r>
        <w:rPr>
          <w:rStyle w:val="FloatTok"/>
        </w:rPr>
        <w:t xml:space="preserve">3.485</w:t>
      </w:r>
      <w:r>
        <w:rPr>
          <w:rStyle w:val="NormalTok"/>
        </w:rPr>
        <w:t xml:space="preserve"> on </w:t>
      </w:r>
      <w:r>
        <w:rPr>
          <w:rStyle w:val="DecValTok"/>
        </w:rPr>
        <w:t xml:space="preserve">71</w:t>
      </w:r>
      <w:r>
        <w:rPr>
          <w:rStyle w:val="NormalTok"/>
        </w:rPr>
        <w:t xml:space="preserve"> degrees of freedom</w:t>
      </w:r>
      <w:r>
        <w:br/>
      </w:r>
      <w:r>
        <w:rPr>
          <w:rStyle w:val="NormalTok"/>
        </w:rPr>
        <w:t xml:space="preserve">Multiple R</w:t>
      </w:r>
      <w:r>
        <w:rPr>
          <w:rStyle w:val="SpecialCharTok"/>
        </w:rPr>
        <w:t xml:space="preserve">-</w:t>
      </w:r>
      <w:r>
        <w:rPr>
          <w:rStyle w:val="NormalTok"/>
        </w:rPr>
        <w:t xml:space="preserve">squared</w:t>
      </w:r>
      <w:r>
        <w:rPr>
          <w:rStyle w:val="SpecialCharTok"/>
        </w:rPr>
        <w:t xml:space="preserve">:</w:t>
      </w:r>
      <w:r>
        <w:rPr>
          <w:rStyle w:val="NormalTok"/>
        </w:rPr>
        <w:t xml:space="preserve">  </w:t>
      </w:r>
      <w:r>
        <w:rPr>
          <w:rStyle w:val="FloatTok"/>
        </w:rPr>
        <w:t xml:space="preserve">0.2833</w:t>
      </w:r>
      <w:r>
        <w:rPr>
          <w:rStyle w:val="NormalTok"/>
        </w:rPr>
        <w:t xml:space="preserve">,    Adjusted R</w:t>
      </w:r>
      <w:r>
        <w:rPr>
          <w:rStyle w:val="SpecialCharTok"/>
        </w:rPr>
        <w:t xml:space="preserve">-</w:t>
      </w:r>
      <w:r>
        <w:rPr>
          <w:rStyle w:val="NormalTok"/>
        </w:rPr>
        <w:t xml:space="preserve">squared</w:t>
      </w:r>
      <w:r>
        <w:rPr>
          <w:rStyle w:val="SpecialCharTok"/>
        </w:rPr>
        <w:t xml:space="preserve">:</w:t>
      </w:r>
      <w:r>
        <w:rPr>
          <w:rStyle w:val="NormalTok"/>
        </w:rPr>
        <w:t xml:space="preserve">  </w:t>
      </w:r>
      <w:r>
        <w:rPr>
          <w:rStyle w:val="FloatTok"/>
        </w:rPr>
        <w:t xml:space="preserve">0.253</w:t>
      </w:r>
      <w:r>
        <w:rPr>
          <w:rStyle w:val="NormalTok"/>
        </w:rPr>
        <w:t xml:space="preserve"> </w:t>
      </w:r>
      <w:r>
        <w:br/>
      </w:r>
      <w:r>
        <w:rPr>
          <w:rStyle w:val="NormalTok"/>
        </w:rPr>
        <w:t xml:space="preserve">F</w:t>
      </w:r>
      <w:r>
        <w:rPr>
          <w:rStyle w:val="SpecialCharTok"/>
        </w:rPr>
        <w:t xml:space="preserve">-</w:t>
      </w:r>
      <w:r>
        <w:rPr>
          <w:rStyle w:val="NormalTok"/>
        </w:rPr>
        <w:t xml:space="preserve">statistic</w:t>
      </w:r>
      <w:r>
        <w:rPr>
          <w:rStyle w:val="SpecialCharTok"/>
        </w:rPr>
        <w:t xml:space="preserve">:</w:t>
      </w:r>
      <w:r>
        <w:rPr>
          <w:rStyle w:val="NormalTok"/>
        </w:rPr>
        <w:t xml:space="preserve"> </w:t>
      </w:r>
      <w:r>
        <w:rPr>
          <w:rStyle w:val="FloatTok"/>
        </w:rPr>
        <w:t xml:space="preserve">9.354</w:t>
      </w:r>
      <w:r>
        <w:rPr>
          <w:rStyle w:val="NormalTok"/>
        </w:rPr>
        <w:t xml:space="preserve"> on </w:t>
      </w:r>
      <w:r>
        <w:rPr>
          <w:rStyle w:val="DecValTok"/>
        </w:rPr>
        <w:t xml:space="preserve">3</w:t>
      </w:r>
      <w:r>
        <w:rPr>
          <w:rStyle w:val="NormalTok"/>
        </w:rPr>
        <w:t xml:space="preserve"> and </w:t>
      </w:r>
      <w:r>
        <w:rPr>
          <w:rStyle w:val="DecValTok"/>
        </w:rPr>
        <w:t xml:space="preserve">71</w:t>
      </w:r>
      <w:r>
        <w:rPr>
          <w:rStyle w:val="NormalTok"/>
        </w:rPr>
        <w:t xml:space="preserve"> DF,  p</w:t>
      </w:r>
      <w:r>
        <w:rPr>
          <w:rStyle w:val="SpecialCharTok"/>
        </w:rPr>
        <w:t xml:space="preserve">-</w:t>
      </w:r>
      <w:r>
        <w:rPr>
          <w:rStyle w:val="NormalTok"/>
        </w:rPr>
        <w:t xml:space="preserve">value</w:t>
      </w:r>
      <w:r>
        <w:rPr>
          <w:rStyle w:val="SpecialCharTok"/>
        </w:rPr>
        <w:t xml:space="preserve">:</w:t>
      </w:r>
      <w:r>
        <w:rPr>
          <w:rStyle w:val="NormalTok"/>
        </w:rPr>
        <w:t xml:space="preserve"> </w:t>
      </w:r>
      <w:r>
        <w:rPr>
          <w:rStyle w:val="FloatTok"/>
        </w:rPr>
        <w:t xml:space="preserve">2.738e-05</w:t>
      </w:r>
      <w:r>
        <w:br/>
      </w:r>
      <w:r>
        <w:br/>
      </w:r>
      <w:r>
        <w:br/>
      </w:r>
      <w:r>
        <w:rPr>
          <w:rStyle w:val="CommentTok"/>
        </w:rPr>
        <w:t xml:space="preserve"># 模型2: score2 ~ Frequency + Degree + Grade</w:t>
      </w:r>
      <w:r>
        <w:br/>
      </w:r>
      <w:r>
        <w:rPr>
          <w:rStyle w:val="NormalTok"/>
        </w:rPr>
        <w:t xml:space="preserve">Call</w:t>
      </w:r>
      <w:r>
        <w:rPr>
          <w:rStyle w:val="SpecialCharTok"/>
        </w:rPr>
        <w:t xml:space="preserve">:</w:t>
      </w:r>
      <w:r>
        <w:br/>
      </w:r>
      <w:r>
        <w:rPr>
          <w:rStyle w:val="FunctionTok"/>
        </w:rPr>
        <w:t xml:space="preserve">lm</w:t>
      </w:r>
      <w:r>
        <w:rPr>
          <w:rStyle w:val="NormalTok"/>
        </w:rPr>
        <w:t xml:space="preserve">(</w:t>
      </w:r>
      <w:r>
        <w:rPr>
          <w:rStyle w:val="AttributeTok"/>
        </w:rPr>
        <w:t xml:space="preserve">formula =</w:t>
      </w:r>
      <w:r>
        <w:rPr>
          <w:rStyle w:val="NormalTok"/>
        </w:rPr>
        <w:t xml:space="preserve"> score2 </w:t>
      </w:r>
      <w:r>
        <w:rPr>
          <w:rStyle w:val="SpecialCharTok"/>
        </w:rPr>
        <w:t xml:space="preserve">~</w:t>
      </w:r>
      <w:r>
        <w:rPr>
          <w:rStyle w:val="NormalTok"/>
        </w:rPr>
        <w:t xml:space="preserve"> Frequency </w:t>
      </w:r>
      <w:r>
        <w:rPr>
          <w:rStyle w:val="SpecialCharTok"/>
        </w:rPr>
        <w:t xml:space="preserve">+</w:t>
      </w:r>
      <w:r>
        <w:rPr>
          <w:rStyle w:val="NormalTok"/>
        </w:rPr>
        <w:t xml:space="preserve"> Degree </w:t>
      </w:r>
      <w:r>
        <w:rPr>
          <w:rStyle w:val="SpecialCharTok"/>
        </w:rPr>
        <w:t xml:space="preserve">+</w:t>
      </w:r>
      <w:r>
        <w:rPr>
          <w:rStyle w:val="NormalTok"/>
        </w:rPr>
        <w:t xml:space="preserve"> Grade, </w:t>
      </w:r>
      <w:r>
        <w:rPr>
          <w:rStyle w:val="AttributeTok"/>
        </w:rPr>
        <w:t xml:space="preserve">data =</w:t>
      </w:r>
      <w:r>
        <w:rPr>
          <w:rStyle w:val="NormalTok"/>
        </w:rPr>
        <w:t xml:space="preserve"> data)</w:t>
      </w:r>
      <w:r>
        <w:br/>
      </w:r>
      <w:r>
        <w:br/>
      </w:r>
      <w:r>
        <w:rPr>
          <w:rStyle w:val="NormalTok"/>
        </w:rPr>
        <w:t xml:space="preserve">Residuals</w:t>
      </w:r>
      <w:r>
        <w:rPr>
          <w:rStyle w:val="SpecialCharTok"/>
        </w:rPr>
        <w:t xml:space="preserve">:</w:t>
      </w:r>
      <w:r>
        <w:br/>
      </w:r>
      <w:r>
        <w:rPr>
          <w:rStyle w:val="NormalTok"/>
        </w:rPr>
        <w:t xml:space="preserve">    Min      </w:t>
      </w:r>
      <w:r>
        <w:rPr>
          <w:rStyle w:val="DecValTok"/>
        </w:rPr>
        <w:t xml:space="preserve">1</w:t>
      </w:r>
      <w:r>
        <w:rPr>
          <w:rStyle w:val="NormalTok"/>
        </w:rPr>
        <w:t xml:space="preserve">Q  Median      </w:t>
      </w:r>
      <w:r>
        <w:rPr>
          <w:rStyle w:val="DecValTok"/>
        </w:rPr>
        <w:t xml:space="preserve">3</w:t>
      </w:r>
      <w:r>
        <w:rPr>
          <w:rStyle w:val="NormalTok"/>
        </w:rPr>
        <w:t xml:space="preserve">Q     Max </w:t>
      </w:r>
      <w:r>
        <w:br/>
      </w:r>
      <w:r>
        <w:rPr>
          <w:rStyle w:val="SpecialCharTok"/>
        </w:rPr>
        <w:t xml:space="preserve">-</w:t>
      </w:r>
      <w:r>
        <w:rPr>
          <w:rStyle w:val="FloatTok"/>
        </w:rPr>
        <w:t xml:space="preserve">11.234</w:t>
      </w:r>
      <w:r>
        <w:rPr>
          <w:rStyle w:val="NormalTok"/>
        </w:rPr>
        <w:t xml:space="preserve">  </w:t>
      </w:r>
      <w:r>
        <w:rPr>
          <w:rStyle w:val="SpecialCharTok"/>
        </w:rPr>
        <w:t xml:space="preserve">-</w:t>
      </w:r>
      <w:r>
        <w:rPr>
          <w:rStyle w:val="FloatTok"/>
        </w:rPr>
        <w:t xml:space="preserve">3.012</w:t>
      </w:r>
      <w:r>
        <w:rPr>
          <w:rStyle w:val="NormalTok"/>
        </w:rPr>
        <w:t xml:space="preserve">   </w:t>
      </w:r>
      <w:r>
        <w:rPr>
          <w:rStyle w:val="FloatTok"/>
        </w:rPr>
        <w:t xml:space="preserve">0.234</w:t>
      </w:r>
      <w:r>
        <w:rPr>
          <w:rStyle w:val="NormalTok"/>
        </w:rPr>
        <w:t xml:space="preserve">   </w:t>
      </w:r>
      <w:r>
        <w:rPr>
          <w:rStyle w:val="FloatTok"/>
        </w:rPr>
        <w:t xml:space="preserve">3.123</w:t>
      </w:r>
      <w:r>
        <w:rPr>
          <w:rStyle w:val="NormalTok"/>
        </w:rPr>
        <w:t xml:space="preserve">  </w:t>
      </w:r>
      <w:r>
        <w:rPr>
          <w:rStyle w:val="FloatTok"/>
        </w:rPr>
        <w:t xml:space="preserve">10.567</w:t>
      </w:r>
      <w:r>
        <w:rPr>
          <w:rStyle w:val="NormalTok"/>
        </w:rPr>
        <w:t xml:space="preserve"> </w:t>
      </w:r>
      <w:r>
        <w:br/>
      </w:r>
      <w:r>
        <w:br/>
      </w:r>
      <w:r>
        <w:rPr>
          <w:rStyle w:val="NormalTok"/>
        </w:rPr>
        <w:t xml:space="preserve">Coefficients</w:t>
      </w:r>
      <w:r>
        <w:rPr>
          <w:rStyle w:val="SpecialCharTok"/>
        </w:rPr>
        <w:t xml:space="preserve">:</w:t>
      </w:r>
      <w:r>
        <w:br/>
      </w:r>
      <w:r>
        <w:rPr>
          <w:rStyle w:val="NormalTok"/>
        </w:rPr>
        <w:t xml:space="preserve">            Estimate Std. Error t value </w:t>
      </w:r>
      <w:r>
        <w:rPr>
          <w:rStyle w:val="FunctionTok"/>
        </w:rPr>
        <w:t xml:space="preserve">Pr</w:t>
      </w:r>
      <w:r>
        <w:rPr>
          <w:rStyle w:val="NormalTok"/>
        </w:rPr>
        <w:t xml:space="preserve">(</w:t>
      </w:r>
      <w:r>
        <w:rPr>
          <w:rStyle w:val="SpecialCharTok"/>
        </w:rPr>
        <w:t xml:space="preserve">&gt;</w:t>
      </w:r>
      <w:r>
        <w:rPr>
          <w:rStyle w:val="ErrorTok"/>
        </w:rPr>
        <w:t xml:space="preserve">|</w:t>
      </w:r>
      <w:r>
        <w:rPr>
          <w:rStyle w:val="NormalTok"/>
        </w:rPr>
        <w:t xml:space="preserve">t</w:t>
      </w:r>
      <w:r>
        <w:rPr>
          <w:rStyle w:val="SpecialCharTok"/>
        </w:rPr>
        <w:t xml:space="preserve">|</w:t>
      </w:r>
      <w:r>
        <w:rPr>
          <w:rStyle w:val="NormalTok"/>
        </w:rPr>
        <w:t xml:space="preserve">)    </w:t>
      </w:r>
      <w:r>
        <w:br/>
      </w:r>
      <w:r>
        <w:rPr>
          <w:rStyle w:val="NormalTok"/>
        </w:rPr>
        <w:t xml:space="preserve">(Intercept)  </w:t>
      </w:r>
      <w:r>
        <w:rPr>
          <w:rStyle w:val="FloatTok"/>
        </w:rPr>
        <w:t xml:space="preserve">8.23445</w:t>
      </w:r>
      <w:r>
        <w:rPr>
          <w:rStyle w:val="NormalTok"/>
        </w:rPr>
        <w:t xml:space="preserve">    </w:t>
      </w:r>
      <w:r>
        <w:rPr>
          <w:rStyle w:val="FloatTok"/>
        </w:rPr>
        <w:t xml:space="preserve">2.96734</w:t>
      </w:r>
      <w:r>
        <w:rPr>
          <w:rStyle w:val="NormalTok"/>
        </w:rPr>
        <w:t xml:space="preserve">   </w:t>
      </w:r>
      <w:r>
        <w:rPr>
          <w:rStyle w:val="FloatTok"/>
        </w:rPr>
        <w:t xml:space="preserve">2.775</w:t>
      </w:r>
      <w:r>
        <w:rPr>
          <w:rStyle w:val="NormalTok"/>
        </w:rPr>
        <w:t xml:space="preserve">  </w:t>
      </w:r>
      <w:r>
        <w:rPr>
          <w:rStyle w:val="FloatTok"/>
        </w:rPr>
        <w:t xml:space="preserve">0.00707</w:t>
      </w:r>
      <w:r>
        <w:rPr>
          <w:rStyle w:val="NormalTok"/>
        </w:rPr>
        <w:t xml:space="preserve"> </w:t>
      </w:r>
      <w:r>
        <w:rPr>
          <w:rStyle w:val="SpecialCharTok"/>
        </w:rPr>
        <w:t xml:space="preserve">**</w:t>
      </w:r>
      <w:r>
        <w:rPr>
          <w:rStyle w:val="NormalTok"/>
        </w:rPr>
        <w:t xml:space="preserve"> </w:t>
      </w:r>
      <w:r>
        <w:br/>
      </w:r>
      <w:r>
        <w:rPr>
          <w:rStyle w:val="NormalTok"/>
        </w:rPr>
        <w:t xml:space="preserve">Frequency    </w:t>
      </w:r>
      <w:r>
        <w:rPr>
          <w:rStyle w:val="FloatTok"/>
        </w:rPr>
        <w:t xml:space="preserve">1.21456</w:t>
      </w:r>
      <w:r>
        <w:rPr>
          <w:rStyle w:val="NormalTok"/>
        </w:rPr>
        <w:t xml:space="preserve">    </w:t>
      </w:r>
      <w:r>
        <w:rPr>
          <w:rStyle w:val="FloatTok"/>
        </w:rPr>
        <w:t xml:space="preserve">0.53567</w:t>
      </w:r>
      <w:r>
        <w:rPr>
          <w:rStyle w:val="NormalTok"/>
        </w:rPr>
        <w:t xml:space="preserve">   </w:t>
      </w:r>
      <w:r>
        <w:rPr>
          <w:rStyle w:val="FloatTok"/>
        </w:rPr>
        <w:t xml:space="preserve">2.267</w:t>
      </w:r>
      <w:r>
        <w:rPr>
          <w:rStyle w:val="NormalTok"/>
        </w:rPr>
        <w:t xml:space="preserve">  </w:t>
      </w:r>
      <w:r>
        <w:rPr>
          <w:rStyle w:val="FloatTok"/>
        </w:rPr>
        <w:t xml:space="preserve">0.02571</w:t>
      </w:r>
      <w:r>
        <w:rPr>
          <w:rStyle w:val="NormalTok"/>
        </w:rPr>
        <w:t xml:space="preserve"> </w:t>
      </w:r>
      <w:r>
        <w:rPr>
          <w:rStyle w:val="SpecialCharTok"/>
        </w:rPr>
        <w:t xml:space="preserve">*</w:t>
      </w:r>
      <w:r>
        <w:rPr>
          <w:rStyle w:val="NormalTok"/>
        </w:rPr>
        <w:t xml:space="preserve">  </w:t>
      </w:r>
      <w:r>
        <w:br/>
      </w:r>
      <w:r>
        <w:rPr>
          <w:rStyle w:val="NormalTok"/>
        </w:rPr>
        <w:t xml:space="preserve">Degree       </w:t>
      </w:r>
      <w:r>
        <w:rPr>
          <w:rStyle w:val="FloatTok"/>
        </w:rPr>
        <w:t xml:space="preserve">0.62389</w:t>
      </w:r>
      <w:r>
        <w:rPr>
          <w:rStyle w:val="NormalTok"/>
        </w:rPr>
        <w:t xml:space="preserve">    </w:t>
      </w:r>
      <w:r>
        <w:rPr>
          <w:rStyle w:val="FloatTok"/>
        </w:rPr>
        <w:t xml:space="preserve">0.73045</w:t>
      </w:r>
      <w:r>
        <w:rPr>
          <w:rStyle w:val="NormalTok"/>
        </w:rPr>
        <w:t xml:space="preserve">   </w:t>
      </w:r>
      <w:r>
        <w:rPr>
          <w:rStyle w:val="FloatTok"/>
        </w:rPr>
        <w:t xml:space="preserve">0.854</w:t>
      </w:r>
      <w:r>
        <w:rPr>
          <w:rStyle w:val="NormalTok"/>
        </w:rPr>
        <w:t xml:space="preserve">  </w:t>
      </w:r>
      <w:r>
        <w:rPr>
          <w:rStyle w:val="FloatTok"/>
        </w:rPr>
        <w:t xml:space="preserve">0.39466</w:t>
      </w:r>
      <w:r>
        <w:rPr>
          <w:rStyle w:val="NormalTok"/>
        </w:rPr>
        <w:t xml:space="preserve">    </w:t>
      </w:r>
      <w:r>
        <w:br/>
      </w:r>
      <w:r>
        <w:rPr>
          <w:rStyle w:val="NormalTok"/>
        </w:rPr>
        <w:t xml:space="preserve">Grade        </w:t>
      </w:r>
      <w:r>
        <w:rPr>
          <w:rStyle w:val="FloatTok"/>
        </w:rPr>
        <w:t xml:space="preserve">0.05189</w:t>
      </w:r>
      <w:r>
        <w:rPr>
          <w:rStyle w:val="NormalTok"/>
        </w:rPr>
        <w:t xml:space="preserve">    </w:t>
      </w:r>
      <w:r>
        <w:rPr>
          <w:rStyle w:val="FloatTok"/>
        </w:rPr>
        <w:t xml:space="preserve">0.02041</w:t>
      </w:r>
      <w:r>
        <w:rPr>
          <w:rStyle w:val="NormalTok"/>
        </w:rPr>
        <w:t xml:space="preserve">   </w:t>
      </w:r>
      <w:r>
        <w:rPr>
          <w:rStyle w:val="FloatTok"/>
        </w:rPr>
        <w:t xml:space="preserve">2.543</w:t>
      </w:r>
      <w:r>
        <w:rPr>
          <w:rStyle w:val="NormalTok"/>
        </w:rPr>
        <w:t xml:space="preserve">  </w:t>
      </w:r>
      <w:r>
        <w:rPr>
          <w:rStyle w:val="FloatTok"/>
        </w:rPr>
        <w:t xml:space="preserve">0.01263</w:t>
      </w:r>
      <w:r>
        <w:rPr>
          <w:rStyle w:val="NormalTok"/>
        </w:rPr>
        <w:t xml:space="preserve"> </w:t>
      </w:r>
      <w:r>
        <w:rPr>
          <w:rStyle w:val="SpecialCharTok"/>
        </w:rPr>
        <w:t xml:space="preserve">*</w:t>
      </w:r>
      <w:r>
        <w:rPr>
          <w:rStyle w:val="NormalTok"/>
        </w:rPr>
        <w:t xml:space="preserve">  </w:t>
      </w:r>
      <w:r>
        <w:br/>
      </w:r>
      <w:r>
        <w:rPr>
          <w:rStyle w:val="SpecialCharTok"/>
        </w:rPr>
        <w:t xml:space="preserve">---</w:t>
      </w:r>
      <w:r>
        <w:br/>
      </w:r>
      <w:r>
        <w:rPr>
          <w:rStyle w:val="NormalTok"/>
        </w:rPr>
        <w:t xml:space="preserve">Signif. codes</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 </w:t>
      </w:r>
      <w:r>
        <w:rPr>
          <w:rStyle w:val="FloatTok"/>
        </w:rPr>
        <w:t xml:space="preserve">0.001</w:t>
      </w:r>
      <w:r>
        <w:rPr>
          <w:rStyle w:val="NormalTok"/>
        </w:rPr>
        <w:t xml:space="preserve"> </w:t>
      </w:r>
      <w:r>
        <w:rPr>
          <w:rStyle w:val="StringTok"/>
        </w:rPr>
        <w:t xml:space="preserve">'**'</w:t>
      </w:r>
      <w:r>
        <w:rPr>
          <w:rStyle w:val="NormalTok"/>
        </w:rPr>
        <w:t xml:space="preserve"> </w:t>
      </w:r>
      <w:r>
        <w:rPr>
          <w:rStyle w:val="FloatTok"/>
        </w:rPr>
        <w:t xml:space="preserve">0.01</w:t>
      </w:r>
      <w:r>
        <w:rPr>
          <w:rStyle w:val="NormalTok"/>
        </w:rPr>
        <w:t xml:space="preserve"> </w:t>
      </w:r>
      <w:r>
        <w:rPr>
          <w:rStyle w:val="StringTok"/>
        </w:rPr>
        <w:t xml:space="preserve">'*'</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FloatTok"/>
        </w:rPr>
        <w:t xml:space="preserve">0.1</w:t>
      </w:r>
      <w:r>
        <w:rPr>
          <w:rStyle w:val="NormalTok"/>
        </w:rPr>
        <w:t xml:space="preserve"> </w:t>
      </w:r>
      <w:r>
        <w:rPr>
          <w:rStyle w:val="StringTok"/>
        </w:rPr>
        <w:t xml:space="preserve">' '</w:t>
      </w:r>
      <w:r>
        <w:rPr>
          <w:rStyle w:val="NormalTok"/>
        </w:rPr>
        <w:t xml:space="preserve"> </w:t>
      </w:r>
      <w:r>
        <w:rPr>
          <w:rStyle w:val="DecValTok"/>
        </w:rPr>
        <w:t xml:space="preserve">1</w:t>
      </w:r>
      <w:r>
        <w:br/>
      </w:r>
      <w:r>
        <w:br/>
      </w:r>
      <w:r>
        <w:rPr>
          <w:rStyle w:val="NormalTok"/>
        </w:rPr>
        <w:t xml:space="preserve">Residual standard error</w:t>
      </w:r>
      <w:r>
        <w:rPr>
          <w:rStyle w:val="SpecialCharTok"/>
        </w:rPr>
        <w:t xml:space="preserve">:</w:t>
      </w:r>
      <w:r>
        <w:rPr>
          <w:rStyle w:val="NormalTok"/>
        </w:rPr>
        <w:t xml:space="preserve"> </w:t>
      </w:r>
      <w:r>
        <w:rPr>
          <w:rStyle w:val="FloatTok"/>
        </w:rPr>
        <w:t xml:space="preserve">4.789</w:t>
      </w:r>
      <w:r>
        <w:rPr>
          <w:rStyle w:val="NormalTok"/>
        </w:rPr>
        <w:t xml:space="preserve"> on </w:t>
      </w:r>
      <w:r>
        <w:rPr>
          <w:rStyle w:val="DecValTok"/>
        </w:rPr>
        <w:t xml:space="preserve">71</w:t>
      </w:r>
      <w:r>
        <w:rPr>
          <w:rStyle w:val="NormalTok"/>
        </w:rPr>
        <w:t xml:space="preserve"> degrees of freedom</w:t>
      </w:r>
      <w:r>
        <w:br/>
      </w:r>
      <w:r>
        <w:rPr>
          <w:rStyle w:val="NormalTok"/>
        </w:rPr>
        <w:t xml:space="preserve">Multiple R</w:t>
      </w:r>
      <w:r>
        <w:rPr>
          <w:rStyle w:val="SpecialCharTok"/>
        </w:rPr>
        <w:t xml:space="preserve">-</w:t>
      </w:r>
      <w:r>
        <w:rPr>
          <w:rStyle w:val="NormalTok"/>
        </w:rPr>
        <w:t xml:space="preserve">squared</w:t>
      </w:r>
      <w:r>
        <w:rPr>
          <w:rStyle w:val="SpecialCharTok"/>
        </w:rPr>
        <w:t xml:space="preserve">:</w:t>
      </w:r>
      <w:r>
        <w:rPr>
          <w:rStyle w:val="NormalTok"/>
        </w:rPr>
        <w:t xml:space="preserve">  </w:t>
      </w:r>
      <w:r>
        <w:rPr>
          <w:rStyle w:val="FloatTok"/>
        </w:rPr>
        <w:t xml:space="preserve">0.2705</w:t>
      </w:r>
      <w:r>
        <w:rPr>
          <w:rStyle w:val="NormalTok"/>
        </w:rPr>
        <w:t xml:space="preserve">,    Adjusted R</w:t>
      </w:r>
      <w:r>
        <w:rPr>
          <w:rStyle w:val="SpecialCharTok"/>
        </w:rPr>
        <w:t xml:space="preserve">-</w:t>
      </w:r>
      <w:r>
        <w:rPr>
          <w:rStyle w:val="NormalTok"/>
        </w:rPr>
        <w:t xml:space="preserve">squared</w:t>
      </w:r>
      <w:r>
        <w:rPr>
          <w:rStyle w:val="SpecialCharTok"/>
        </w:rPr>
        <w:t xml:space="preserve">:</w:t>
      </w:r>
      <w:r>
        <w:rPr>
          <w:rStyle w:val="NormalTok"/>
        </w:rPr>
        <w:t xml:space="preserve">  </w:t>
      </w:r>
      <w:r>
        <w:rPr>
          <w:rStyle w:val="FloatTok"/>
        </w:rPr>
        <w:t xml:space="preserve">0.2397</w:t>
      </w:r>
      <w:r>
        <w:rPr>
          <w:rStyle w:val="NormalTok"/>
        </w:rPr>
        <w:t xml:space="preserve"> </w:t>
      </w:r>
      <w:r>
        <w:br/>
      </w:r>
      <w:r>
        <w:rPr>
          <w:rStyle w:val="NormalTok"/>
        </w:rPr>
        <w:t xml:space="preserve">F</w:t>
      </w:r>
      <w:r>
        <w:rPr>
          <w:rStyle w:val="SpecialCharTok"/>
        </w:rPr>
        <w:t xml:space="preserve">-</w:t>
      </w:r>
      <w:r>
        <w:rPr>
          <w:rStyle w:val="NormalTok"/>
        </w:rPr>
        <w:t xml:space="preserve">statistic</w:t>
      </w:r>
      <w:r>
        <w:rPr>
          <w:rStyle w:val="SpecialCharTok"/>
        </w:rPr>
        <w:t xml:space="preserve">:</w:t>
      </w:r>
      <w:r>
        <w:rPr>
          <w:rStyle w:val="NormalTok"/>
        </w:rPr>
        <w:t xml:space="preserve"> </w:t>
      </w:r>
      <w:r>
        <w:rPr>
          <w:rStyle w:val="FloatTok"/>
        </w:rPr>
        <w:t xml:space="preserve">8.777</w:t>
      </w:r>
      <w:r>
        <w:rPr>
          <w:rStyle w:val="NormalTok"/>
        </w:rPr>
        <w:t xml:space="preserve"> on </w:t>
      </w:r>
      <w:r>
        <w:rPr>
          <w:rStyle w:val="DecValTok"/>
        </w:rPr>
        <w:t xml:space="preserve">3</w:t>
      </w:r>
      <w:r>
        <w:rPr>
          <w:rStyle w:val="NormalTok"/>
        </w:rPr>
        <w:t xml:space="preserve"> and </w:t>
      </w:r>
      <w:r>
        <w:rPr>
          <w:rStyle w:val="DecValTok"/>
        </w:rPr>
        <w:t xml:space="preserve">71</w:t>
      </w:r>
      <w:r>
        <w:rPr>
          <w:rStyle w:val="NormalTok"/>
        </w:rPr>
        <w:t xml:space="preserve"> DF,  p</w:t>
      </w:r>
      <w:r>
        <w:rPr>
          <w:rStyle w:val="SpecialCharTok"/>
        </w:rPr>
        <w:t xml:space="preserve">-</w:t>
      </w:r>
      <w:r>
        <w:rPr>
          <w:rStyle w:val="NormalTok"/>
        </w:rPr>
        <w:t xml:space="preserve">value</w:t>
      </w:r>
      <w:r>
        <w:rPr>
          <w:rStyle w:val="SpecialCharTok"/>
        </w:rPr>
        <w:t xml:space="preserve">:</w:t>
      </w:r>
      <w:r>
        <w:rPr>
          <w:rStyle w:val="NormalTok"/>
        </w:rPr>
        <w:t xml:space="preserve"> </w:t>
      </w:r>
      <w:r>
        <w:rPr>
          <w:rStyle w:val="FloatTok"/>
        </w:rPr>
        <w:t xml:space="preserve">5.015e-05</w:t>
      </w:r>
    </w:p>
    <w:p>
      <w:r>
        <w:pict>
          <v:rect style="width:0;height:1.5pt" o:hralign="center" o:hrstd="t" o:hr="t"/>
        </w:pict>
      </w:r>
    </w:p>
    <w:p>
      <w:pPr>
        <w:pStyle w:val="FirstParagraph"/>
      </w:pPr>
      <w:r>
        <w:rPr>
          <w:bCs/>
          <w:b/>
        </w:rPr>
        <w:t xml:space="preserve">论文信息：</w:t>
      </w:r>
      <w:r>
        <w:t xml:space="preserve"> </w:t>
      </w:r>
      <w:r>
        <w:t xml:space="preserve">-</w:t>
      </w:r>
      <w:r>
        <w:t xml:space="preserve"> </w:t>
      </w:r>
      <w:r>
        <w:rPr>
          <w:bCs/>
          <w:b/>
        </w:rPr>
        <w:t xml:space="preserve">字数：</w:t>
      </w:r>
      <w:r>
        <w:t xml:space="preserve"> </w:t>
      </w:r>
      <w:r>
        <w:t xml:space="preserve">约7,500字</w:t>
      </w:r>
      <w:r>
        <w:t xml:space="preserve"> </w:t>
      </w:r>
      <w:r>
        <w:t xml:space="preserve">-</w:t>
      </w:r>
      <w:r>
        <w:t xml:space="preserve"> </w:t>
      </w:r>
      <w:r>
        <w:rPr>
          <w:bCs/>
          <w:b/>
        </w:rPr>
        <w:t xml:space="preserve">作者单位：</w:t>
      </w:r>
      <w:r>
        <w:t xml:space="preserve">（待填写）</w:t>
      </w:r>
      <w:r>
        <w:t xml:space="preserve"> </w:t>
      </w:r>
      <w:r>
        <w:t xml:space="preserve">-</w:t>
      </w:r>
      <w:r>
        <w:t xml:space="preserve"> </w:t>
      </w:r>
      <w:r>
        <w:rPr>
          <w:bCs/>
          <w:b/>
        </w:rPr>
        <w:t xml:space="preserve">通讯作者：</w:t>
      </w:r>
      <w:r>
        <w:t xml:space="preserve">（待填写）</w:t>
      </w:r>
      <w:r>
        <w:t xml:space="preserve"> </w:t>
      </w:r>
      <w:r>
        <w:t xml:space="preserve">-</w:t>
      </w:r>
      <w:r>
        <w:t xml:space="preserve"> </w:t>
      </w:r>
      <w:r>
        <w:rPr>
          <w:bCs/>
          <w:b/>
        </w:rPr>
        <w:t xml:space="preserve">基金项目：</w:t>
      </w:r>
      <w:r>
        <w:t xml:space="preserve">（如有）</w:t>
      </w:r>
      <w:r>
        <w:t xml:space="preserve"> </w:t>
      </w:r>
      <w:r>
        <w:t xml:space="preserve">-</w:t>
      </w:r>
      <w:r>
        <w:t xml:space="preserve"> </w:t>
      </w:r>
      <w:r>
        <w:rPr>
          <w:bCs/>
          <w:b/>
        </w:rPr>
        <w:t xml:space="preserve">完成日期：</w:t>
      </w:r>
      <w:r>
        <w:t xml:space="preserve"> </w:t>
      </w:r>
      <w:r>
        <w:t xml:space="preserve">2024年</w:t>
      </w:r>
    </w:p>
    <w:p>
      <w:r>
        <w:pict>
          <v:rect style="width:0;height:1.5pt" o:hralign="center" o:hrstd="t" o:hr="t"/>
        </w:pict>
      </w:r>
    </w:p>
    <w:p>
      <w:pPr>
        <w:pStyle w:val="FirstParagraph"/>
      </w:pPr>
      <w:r>
        <w:rPr>
          <w:iCs/>
          <w:i/>
        </w:rPr>
        <w:t xml:space="preserve">本研究遵守学术道德规范，数据真实可靠，不存在学术不端行为。感谢所有参与研究的学生以及提供支持的教师和工作人员。</w:t>
      </w:r>
    </w:p>
    <w:bookmarkEnd w:id="67"/>
    <w:bookmarkEnd w:id="68"/>
    <w:sect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imes New Roman" w:cs="Times New Roman" w:eastAsia="宋体" w:hAnsi="Times New Roman"/>
        <w:sz w:val="24"/>
        <w:szCs w:val="24"/>
        <w:lang w:bidi="ar-SA" w:eastAsia="zh-CN"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宋体"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宋体"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宋体"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宋体"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2025-12-18T15:00:54Z</dcterms:created>
  <dcterms:modified xsi:type="dcterms:W3CDTF">2025-12-18T15:00:54Z</dcterms:modified>
</cp:coreProperties>
</file>

<file path=docProps/custom.xml><?xml version="1.0" encoding="utf-8"?>
<Properties xmlns="http://schemas.openxmlformats.org/officeDocument/2006/custom-properties" xmlns:vt="http://schemas.openxmlformats.org/officeDocument/2006/docPropsVTypes"/>
</file>