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i/>
          <w:iCs/>
          <w:color w:val="888888"/>
          <w:sz w:val="18"/>
          <w:szCs w:val="18"/>
        </w:rPr>
        <w:t xml:space="preserve">— Additions for Chapter 12 · merge after §12.7 —</w:t>
      </w:r>
    </w:p>
    <w:p>
      <w:pPr>
        <w:pBdr>
          <w:bottom w:val="single" w:color="888888" w:sz="6" w:space="8"/>
        </w:pBdr>
        <w:spacing w:after="300"/>
      </w:pPr>
    </w:p>
    <w:p>
      <w:pPr>
        <w:pStyle w:val="Heading1"/>
      </w:pPr>
      <w:r>
        <w:rPr>
          <w:b/>
          <w:bCs/>
        </w:rPr>
        <w:t xml:space="preserve">§12.8 The Water Mold — Forming the Skin</w:t>
      </w:r>
    </w:p>
    <w:p>
      <w:pPr>
        <w:spacing w:after="180" w:line="320"/>
        <w:jc w:val="both"/>
      </w:pPr>
      <w:r>
        <w:t xml:space="preserve">The Azul Maya skin must be a monolithic compound curve. Conventional composite manufacturing achieves this through machined tooling — a CNC-milled foam plug, sanded and gelcoated and used as a male mold for a vacuum-bagged layup. A 7.5-foot dome requires a tool the size of a small car, weeks of machining, and roughly two thousand dollars of foam and gelcoat per shape. A single design iteration costs more than a month of canyon-site occupancy. The forming process becomes the rate-limiting step in the entire program.</w:t>
      </w:r>
    </w:p>
    <w:p>
      <w:pPr>
        <w:spacing w:after="180" w:line="320"/>
        <w:jc w:val="both"/>
      </w:pPr>
      <w:r>
        <w:t xml:space="preserve">There is another way, and it is older than the priest at Chichén Itzá. It uses water as the mold.</w:t>
      </w:r>
    </w:p>
    <w:p>
      <w:pPr>
        <w:spacing w:after="180" w:line="320"/>
        <w:jc w:val="both"/>
      </w:pPr>
      <w:r>
        <w:t xml:space="preserve">The principle is hydrostatic. Water self-levels. Pascal's law guarantees that the surface of a body of water is perpendicular to gravity at every point — a perfect plane, accurate to the limit of surface tension. If a clay disc is floated on that water and held at the edges by a structural ring, and the water is slowly drained from beneath, the disc will sag into a shape that is the precise integral of its own weight against the retreating water surface. The shape is parabolic in the limit of uniform thickness and zero internal stiffness — exactly the geometry the trailer requires for the venturi end caps and the compound shoulder transitions.</w:t>
      </w:r>
    </w:p>
    <w:p>
      <w:pPr>
        <w:spacing w:after="180" w:line="320"/>
        <w:jc w:val="both"/>
      </w:pPr>
      <w:r>
        <w:t xml:space="preserve">The water does three things no solid mold can do. It self-levels to molecular tolerance. It supports the clay uniformly through capillary contact, so there are no thin spots from sag and no thick spots from tooling marks. And — most importantly — it allows the dome shape to be adjusted parametrically. A ball valve at the bottom of the pool replaces a CNC machine. Drain eight inches of water, get a 5.6-inch deep dome. Drain twelve, get an 8.4-inch dome. Stop draining at any point and the shape is frozen by the clay's own stiffness.</w:t>
      </w:r>
    </w:p>
    <w:p>
      <w:pPr>
        <w:spacing w:after="180" w:line="320"/>
        <w:jc w:val="both"/>
      </w:pPr>
      <w:r>
        <w:t xml:space="preserve">The pool itself is the cheapest possible fixture. A salvaged above-ground swimming pool frame — the metal ring and uprights of the kind sold by the millions and discarded at the end of each summer — provides a ninety-six-inch ring, twenty-four inches tall, capable of holding seven hundred gallons. The frame costs zero if it is being thrown away. A new pond liner, eight feet in diameter, costs forty dollars. A one-inch ball valve and a bulkhead fitting, fifteen dollars. The total tooling cost for forming every compound-curved surface in the trailer is under sixty dollars.</w:t>
      </w:r>
    </w:p>
    <w:p>
      <w:pPr>
        <w:pStyle w:val="Heading2"/>
      </w:pPr>
      <w:r>
        <w:rPr>
          <w:b/>
          <w:bCs/>
        </w:rPr>
        <w:t xml:space="preserve">§12.8.1 The Oil Layer — Release Agent and Sealant</w:t>
      </w:r>
    </w:p>
    <w:p>
      <w:pPr>
        <w:spacing w:after="180" w:line="320"/>
        <w:jc w:val="both"/>
      </w:pPr>
      <w:r>
        <w:t xml:space="preserve">Water alone is not enough. Wet clay against bare water absorbs water back into itself, weakening the structure during forming and producing a rough, pitted surface where the clay-water interface breaks unevenly. A barrier is required, and it must satisfy three constraints simultaneously: it must float on water (specific gravity below one), it must release cleanly from clay after curing, and it must penetrate the clay's porosity to leave the interior surface waterproof.</w:t>
      </w:r>
    </w:p>
    <w:p>
      <w:pPr>
        <w:spacing w:after="180" w:line="320"/>
        <w:jc w:val="both"/>
      </w:pPr>
      <w:r>
        <w:t xml:space="preserve">Mineral oil satisfies all three. Specific gravity 0.85. Viscosity in the range of fifteen to thirty centistokes when undiluted — low enough to spread and self-level, high enough to stay coherent as a layer rather than break into droplets. Cut three-to-one with mineral spirits, the viscosity drops to roughly five centistokes and the oil spreads across a seven-foot pool surface in under fifteen minutes, forming a uniform layer three to five millimeters deep. The spirits evaporate within forty-eight hours of forming, leaving pure mineral oil in the clay's surface pores.</w:t>
      </w:r>
    </w:p>
    <w:p>
      <w:pPr>
        <w:spacing w:after="180" w:line="320"/>
        <w:jc w:val="both"/>
      </w:pPr>
      <w:r>
        <w:t xml:space="preserve">The penetration depth obeys the Washburn equation. For mineral oil at five centistokes in clay with five-micron pore radius and good wetting, the wicking depth after six hours of contact is approximately seven millimeters. In the trailer's geometry, with a clay shell only one and a half millimeters thick, the oil penetrates the entire wall and emerges through the top surface. The clay becomes a sandwich: oil-saturated below, open-pored above. The interior face — the side that forms against the water-oil mirror — emerges with a surface finish that cannot be matched by any solid mold. The exterior face stays porous, which is critical for thermal radiation and for adhesion of the carbon fiber backing.</w:t>
      </w:r>
    </w:p>
    <w:p>
      <w:pPr>
        <w:spacing w:after="180" w:line="320"/>
        <w:jc w:val="both"/>
      </w:pPr>
      <w:r>
        <w:t xml:space="preserve">In Petén the mineral oil source matters less than the dilution principle. Coconut oil floats on water at SG 0.92, costs nothing at the local market, and carries antimicrobial properties that resist mold in the humid season. Cut two-to-one with diesel — also SG 0.85, also locally available, also evaporative — coconut oil gives the same forming behavior at a fifth the cost of imported mineral oil. The chemistry is approximate but the physics is identical. The priest worked with what he had. So do we.</w:t>
      </w:r>
    </w:p>
    <w:p>
      <w:pPr>
        <w:pStyle w:val="Heading2"/>
      </w:pPr>
      <w:r>
        <w:rPr>
          <w:b/>
          <w:bCs/>
        </w:rPr>
        <w:t xml:space="preserve">§12.8.2 The Weather Balloon — Zero-Tear Membrane</w:t>
      </w:r>
    </w:p>
    <w:p>
      <w:pPr>
        <w:spacing w:after="180" w:line="320"/>
        <w:jc w:val="both"/>
      </w:pPr>
      <w:r>
        <w:t xml:space="preserve">Clay has tensile strength of roughly two megapascals when green, less than half that when leather-hard. A flat sheet of green clay one and a half millimeters thick, when supported only at its perimeter and required to span a ninety-inch diameter, develops bending stresses near the center that exceed the clay's own strength. The membrane tears, the dome forms unevenly, the surface is unrecoverable. This is the classic failure mode of slump-mold pottery at scales beyond about two feet.</w:t>
      </w:r>
    </w:p>
    <w:p>
      <w:pPr>
        <w:spacing w:after="180" w:line="320"/>
        <w:jc w:val="both"/>
      </w:pPr>
      <w:r>
        <w:t xml:space="preserve">The solution is a high-tensile membrane between the clay and the water, stretched across the CF ring before the oil is poured. A meteorological balloon — the kind used for atmospheric soundings, sold by NOAA-spec suppliers in latex sheets two meters across, rated for fifty to one hundred percent strain before failure — provides the answer. The latex membrane is stretched flat across the pool ring like a drumhead, the oil layer floats above it, and the clay sits on the oil. The clay never carries its own tensile load. The balloon does.</w:t>
      </w:r>
    </w:p>
    <w:p>
      <w:pPr>
        <w:spacing w:after="180" w:line="320"/>
        <w:jc w:val="both"/>
      </w:pPr>
      <w:r>
        <w:t xml:space="preserve">When the water beneath drains, the balloon stretches downward, following the receding water surface like a rubber sheet draped over an invisible bowl. The clay rides on the balloon. The oil seals the clay's lower surface. The geometry that emerges is determined entirely by the balloon's stretch profile under the combined weight of clay above and pressure differential below — a shape that is, by the membrane equation under uniform load, a perfect surface of revolution.</w:t>
      </w:r>
    </w:p>
    <w:p>
      <w:pPr>
        <w:spacing w:after="180" w:line="320"/>
        <w:jc w:val="both"/>
      </w:pPr>
      <w:r>
        <w:t xml:space="preserve">There is a second advantage. The balloon allows the clay to be applied progressively, by spray, rather than rolled flat in a single operation. Clay slurry can be loaded into a standard stucco hopper — the kind drywall contractors use for textured ceilings — and sprayed onto the membrane in successive coats. The first coat is thinner and covers the entire surface. Subsequent coats build thickness in specific regions: heavier at the fan-mount rim where structural load concentrates, lighter at the venturi smooth zones. The clay density of approximately 1.8 grams per cubic centimeter means that some material does naturally migrate toward the center as the dome forms — the spray method allows the operator to compensate, restoring the desired thickness distribution before the geometry is locked.</w:t>
      </w:r>
    </w:p>
    <w:p>
      <w:pPr>
        <w:spacing w:after="180" w:line="320"/>
        <w:jc w:val="both"/>
      </w:pPr>
      <w:r>
        <w:t xml:space="preserve">This is the alchemists' refinement of the priest's method. The Maya did not need to span seven feet without tearing. We do. The balloon is the bridge.</w:t>
      </w:r>
    </w:p>
    <w:p>
      <w:pPr>
        <w:pStyle w:val="Heading2"/>
      </w:pPr>
      <w:r>
        <w:rPr>
          <w:b/>
          <w:bCs/>
        </w:rPr>
        <w:t xml:space="preserve">§12.8.3 The Carbon Fiber Backing — CTE Impedance Matching</w:t>
      </w:r>
    </w:p>
    <w:p>
      <w:pPr>
        <w:spacing w:after="180" w:line="320"/>
        <w:jc w:val="both"/>
      </w:pPr>
      <w:r>
        <w:t xml:space="preserve">Clay alone, even with the oil seal and the structural assistance of the CF tube frame, will not survive the thermal cycling of Petén. Daily temperature swings of forty degrees Celsius are routine. Annual swings exceed sixty. The coefficient of thermal expansion of fired clay is approximately five parts per million per degree Celsius. The coefficient of thermal expansion of the carbon fiber epoxy composite tube frame is approximately two parts per million per degree Celsius. The mismatch — three parts per million per degree — produces strains across each panel's perimeter that build to roughly 0.5 megapascals at the typical daily swing. This is below the clay's tensile strength, but only marginally, and the cyclic loading produces fatigue cracks within a single season.</w:t>
      </w:r>
    </w:p>
    <w:p>
      <w:pPr>
        <w:spacing w:after="180" w:line="320"/>
        <w:jc w:val="both"/>
      </w:pPr>
      <w:r>
        <w:t xml:space="preserve">The solution is to back the clay with a thin layer of carbon fiber epoxy on the exterior face, applied while the clay is still green and held in its formed geometry by the water below. The CF layer is structural but thin — three layers of two-hundred-gram-per-square-meter twill, wet-laid with slow-cure laminating epoxy, totaling about three-quarters of a millimeter. The sandwich properties of the resulting clay-plus-CF skin are computed by stiffness-weighted rule of mixtures:</w:t>
      </w:r>
    </w:p>
    <w:p>
      <w:pPr>
        <w:spacing w:after="180" w:before="120"/>
        <w:jc w:val="center"/>
      </w:pPr>
      <w:r>
        <w:rPr>
          <w:i/>
          <w:iCs/>
        </w:rPr>
        <w:t xml:space="preserve">CTE</w:t>
      </w:r>
      <w:r>
        <w:rPr>
          <w:i/>
          <w:iCs/>
        </w:rPr>
        <w:t xml:space="preserve">sandwich</w:t>
      </w:r>
      <w:r>
        <w:t xml:space="preserve"> = (</w:t>
      </w:r>
      <w:r>
        <w:rPr>
          <w:i/>
          <w:iCs/>
        </w:rPr>
        <w:t xml:space="preserve">E</w:t>
      </w:r>
      <w:r>
        <w:t xml:space="preserve">clay</w:t>
      </w:r>
      <w:r>
        <w:t xml:space="preserve"> · </w:t>
      </w:r>
      <w:r>
        <w:rPr>
          <w:i/>
          <w:iCs/>
        </w:rPr>
        <w:t xml:space="preserve">t</w:t>
      </w:r>
      <w:r>
        <w:t xml:space="preserve">clay</w:t>
      </w:r>
      <w:r>
        <w:t xml:space="preserve"> · </w:t>
      </w:r>
      <w:r>
        <w:rPr>
          <w:i/>
          <w:iCs/>
        </w:rPr>
        <w:t xml:space="preserve">α</w:t>
      </w:r>
      <w:r>
        <w:t xml:space="preserve">clay</w:t>
      </w:r>
      <w:r>
        <w:t xml:space="preserve"> + </w:t>
      </w:r>
      <w:r>
        <w:rPr>
          <w:i/>
          <w:iCs/>
        </w:rPr>
        <w:t xml:space="preserve">E</w:t>
      </w:r>
      <w:r>
        <w:t xml:space="preserve">CF</w:t>
      </w:r>
      <w:r>
        <w:t xml:space="preserve"> · </w:t>
      </w:r>
      <w:r>
        <w:rPr>
          <w:i/>
          <w:iCs/>
        </w:rPr>
        <w:t xml:space="preserve">t</w:t>
      </w:r>
      <w:r>
        <w:t xml:space="preserve">CF</w:t>
      </w:r>
      <w:r>
        <w:t xml:space="preserve"> · </w:t>
      </w:r>
      <w:r>
        <w:rPr>
          <w:i/>
          <w:iCs/>
        </w:rPr>
        <w:t xml:space="preserve">α</w:t>
      </w:r>
      <w:r>
        <w:t xml:space="preserve">CF</w:t>
      </w:r>
      <w:r>
        <w:t xml:space="preserve">) / (</w:t>
      </w:r>
      <w:r>
        <w:rPr>
          <w:i/>
          <w:iCs/>
        </w:rPr>
        <w:t xml:space="preserve">E</w:t>
      </w:r>
      <w:r>
        <w:t xml:space="preserve">clay</w:t>
      </w:r>
      <w:r>
        <w:t xml:space="preserve"> · </w:t>
      </w:r>
      <w:r>
        <w:rPr>
          <w:i/>
          <w:iCs/>
        </w:rPr>
        <w:t xml:space="preserve">t</w:t>
      </w:r>
      <w:r>
        <w:t xml:space="preserve">clay</w:t>
      </w:r>
      <w:r>
        <w:t xml:space="preserve"> + </w:t>
      </w:r>
      <w:r>
        <w:rPr>
          <w:i/>
          <w:iCs/>
        </w:rPr>
        <w:t xml:space="preserve">E</w:t>
      </w:r>
      <w:r>
        <w:t xml:space="preserve">CF</w:t>
      </w:r>
      <w:r>
        <w:t xml:space="preserve"> · </w:t>
      </w:r>
      <w:r>
        <w:rPr>
          <w:i/>
          <w:iCs/>
        </w:rPr>
        <w:t xml:space="preserve">t</w:t>
      </w:r>
      <w:r>
        <w:t xml:space="preserve">CF</w:t>
      </w:r>
      <w:r>
        <w:t xml:space="preserve">)</w:t>
      </w:r>
    </w:p>
    <w:p>
      <w:pPr>
        <w:spacing w:after="180" w:line="320"/>
        <w:jc w:val="both"/>
      </w:pPr>
      <w:r>
        <w:t xml:space="preserve">With E_clay = 20 GPa, E_CF = 70 GPa, t_clay = 1.5 mm, t_CF = 0.75 mm, α_clay = 5.0 ppm/°C and α_CF = 2.0 ppm/°C, the composite CTE evaluates to 3.1 parts per million per degree Celsius. The mismatch with the tube frame drops from 3.0 to 1.1 — a three-fold reduction in thermal stress. The cyclic clay stress at forty-degree daily swing falls below 0.9 megapascals, with a safety factor of greater than three against the clay's tensile strength. The skin survives indefinitely.</w:t>
      </w:r>
    </w:p>
    <w:p>
      <w:pPr>
        <w:spacing w:after="180" w:line="320"/>
        <w:jc w:val="both"/>
      </w:pPr>
      <w:r>
        <w:t xml:space="preserve">This is impedance matching, the same principle that governs RF transmission lines and acoustic horns. The skin's effective stiffness is tuned to the frame's, not by selecting a single homogeneous material that happens to match, but by laminating two materials whose weighted sum produces the desired property. The clay carries the radiating mass and the porous breathability. The CF carries the constraint that keeps the clay from cracking. Neither material could do the job alone.</w:t>
      </w:r>
    </w:p>
    <w:p>
      <w:pPr>
        <w:pStyle w:val="Heading1"/>
      </w:pPr>
      <w:r>
        <w:rPr>
          <w:b/>
          <w:bCs/>
        </w:rPr>
        <w:t xml:space="preserve">§12.9 The Cover Sheets — Skin Panels by the Same Method</w:t>
      </w:r>
    </w:p>
    <w:p>
      <w:pPr>
        <w:spacing w:after="180" w:line="320"/>
        <w:jc w:val="both"/>
      </w:pPr>
      <w:r>
        <w:t xml:space="preserve">The same water-oil-clay-CF process forms every panel of the trailer's skin. Thirty-six panels in total: twelve curved arc panels covering the vault, twelve flat wall panels on each of two sides for twenty-four total, and two parabolic end domes. Plus the small parts — the impedance-corner fairings, the shoulder transitions, the access door panel, the apex spoiler. Every monolithic compound surface on the trailer comes out of the same pool.</w:t>
      </w:r>
    </w:p>
    <w:p>
      <w:pPr>
        <w:spacing w:after="180" w:line="320"/>
        <w:jc w:val="both"/>
      </w:pPr>
      <w:r>
        <w:t xml:space="preserve">The arc panels are formed not by draining water to a dome shape but by laying the clay over a rib directly. The CF rib is the template — its 120° arc geometry is exactly the curve the panel must take. A thin film of oil is brushed onto the rib, the clay strip is laid over and pressed gently to the surface, and the CF layup is applied while the clay is still green. The panel cures on the rib, taking the rib's exact shape. When demolded, the panel slides off the rib and bonds to its neighbors at the next-rib joint with a strip of structural epoxy.</w:t>
      </w:r>
    </w:p>
    <w:p>
      <w:pPr>
        <w:spacing w:after="180" w:line="320"/>
        <w:jc w:val="both"/>
      </w:pPr>
      <w:r>
        <w:t xml:space="preserve">Wall panels are simpler — they are flat. The clay is rolled to thickness on a smooth board, the CF is wet-laid on top, and the assembly cures flat. No water mold is needed for the wall panels, but the same materials and the same chemistry give the same skin properties: oil-sealed interior, breathable exterior, CTE-matched composite.</w:t>
      </w:r>
    </w:p>
    <w:p>
      <w:pPr>
        <w:spacing w:after="180" w:line="320"/>
        <w:jc w:val="both"/>
      </w:pPr>
      <w:r>
        <w:t xml:space="preserve">The end domes are the showpiece. These are the surfaces that face the canyon wind directly, that house the fan-generator at their centers, and that close the rocket tube into a sealed pressure vessel. The dome forming sequence — pool, oil, balloon, frame, spray clay, drain water, lay CF, cure — produces a finished part in approximately seventy-two hours. Two domes are formed in parallel on opposite ends of the workshop, using two pools, and the trailer's structural envelope is complete in three days of forming plus a week of curing and trim work. The total skin labor for the entire vehicle is under three hundred hours by a single skilled operator and one helper.</w:t>
      </w:r>
    </w:p>
    <w:p>
      <w:pPr>
        <w:pStyle w:val="Heading1"/>
      </w:pPr>
      <w:r>
        <w:rPr>
          <w:b/>
          <w:bCs/>
        </w:rPr>
        <w:t xml:space="preserve">§12.10 Longitudinal Stringers — The Rocket Tube</w:t>
      </w:r>
    </w:p>
    <w:p>
      <w:pPr>
        <w:spacing w:after="180" w:line="320"/>
        <w:jc w:val="both"/>
      </w:pPr>
      <w:r>
        <w:t xml:space="preserve">The frame described in §12.4 is incomplete as drawn. Ribs alone — even thirteen of them at twenty-four-inch pitch — produce a structure that resists cross-section deformation but is weak in bending along the long axis. Loaded on its tongue at sixty miles per hour with a crosswind gust, a ribs-only trailer twists. The roof apex moves. The skin panels carry shear loads they were not designed for, and the structural epoxy joints fail in cyclic fatigue.</w:t>
      </w:r>
    </w:p>
    <w:p>
      <w:pPr>
        <w:spacing w:after="180" w:line="320"/>
        <w:jc w:val="both"/>
      </w:pPr>
      <w:r>
        <w:t xml:space="preserve">The complete structure requires longitudinal stringers — continuous CF tubes that run the full length of the trailer, tying every rib together at multiple positions around the cross-section. Aerospace engineers call this the semi-monocoque construction, the same architecture used in every aluminum airliner since the DC-3 and every composite rocket interstage since the Falcon family. The ribs maintain shape. The stringers carry bending and torsion. The skin completes the load path and turns the assembly into a closed-section beam with stiffness many times greater than the sum of its parts.</w:t>
      </w:r>
    </w:p>
    <w:p>
      <w:pPr>
        <w:spacing w:after="180" w:line="320"/>
        <w:jc w:val="both"/>
      </w:pPr>
      <w:r>
        <w:t xml:space="preserve">Thirteen stringers are required: seven around the 120° arc and six along the two vertical walls. Each runs the trailer's full 290-inch length, made from four spliced sections of standard 8-foot 2¼ × 2¼ inch square CF tube — the same stock as the rib frame. The splices occur at rib positions, where the splice joint can be reinforced by the rib's transverse stiffness. The total quantity of 8-foot CF tubes for stringers is fifty-two. Combined with the rib material — another approximately fifty-two tubes — the trailer's complete structural skeleton uses just over one hundred standard 8-foot CF tubes.</w:t>
      </w:r>
    </w:p>
    <w:p>
      <w:pPr>
        <w:spacing w:after="180" w:line="320"/>
        <w:jc w:val="both"/>
      </w:pPr>
      <w:r>
        <w:t xml:space="preserve">This number matters. One hundred tubes of standard size can be ordered from any composite supplier at commodity pricing — there is no custom tooling, no special length, no specialized weave. The bill of materials for the trailer's skeleton is, in supplier terms, indistinguishable from any of a dozen industrial CF tube applications. Cost predictability is high. Lead time is short. Replacement parts are immediately available anywhere in the world.</w:t>
      </w:r>
    </w:p>
    <w:p>
      <w:pPr>
        <w:spacing w:after="180" w:line="320"/>
        <w:jc w:val="both"/>
      </w:pPr>
      <w:r>
        <w:t xml:space="preserve">The stringers also serve a secondary aerodynamic function. Where the skin panels meet at panel joints, the stringer beneath provides the bonding line — a continuous structural strap that the panel epoxy bridges to its neighbor across. The exterior surface remains smooth, the joints are flush, and the skin reads as continuous to the airflow. There are no protruding fasteners and no surface discontinuities that could trigger separation.</w:t>
      </w:r>
    </w:p>
    <w:p>
      <w:pPr>
        <w:pStyle w:val="Heading1"/>
      </w:pPr>
      <w:r>
        <w:rPr>
          <w:b/>
          <w:bCs/>
        </w:rPr>
        <w:t xml:space="preserve">§12.11 Fan-Generator Selection — Sealed Domes, External Flow</w:t>
      </w:r>
    </w:p>
    <w:p>
      <w:pPr>
        <w:spacing w:after="180" w:line="320"/>
        <w:jc w:val="both"/>
      </w:pPr>
      <w:r>
        <w:t xml:space="preserve">The trailer's interior is sealed. The clean room requires controlled humidity and stable temperature, and the entire envelope of vault, walls, and parabolic domes is closed. No air exchange with the outside is required or desired for the instruments running inside. The fan-generators, therefore, do not move air through the trailer. They sit on the exterior surface of the domes, in the path of canyon wind that flows around the trailer's body, and they extract power from that external flow.</w:t>
      </w:r>
    </w:p>
    <w:p>
      <w:pPr>
        <w:spacing w:after="180" w:line="320"/>
        <w:jc w:val="both"/>
      </w:pPr>
      <w:r>
        <w:t xml:space="preserve">This is a different problem from the Venturi-concentration scheme described in §12.6, and it changes the fan selection criteria. The fans must capture energy from omni-directional wind because the canyon breeze does not come from a single bearing. Morning thermals rise from the creek. Afternoon downslope winds descend from the rim. Evening cross-canyon flow may move at any angle to the trailer's length axis. A fan that requires aiming into a single direction would idle through most of the day.</w:t>
      </w:r>
    </w:p>
    <w:p>
      <w:pPr>
        <w:spacing w:after="180" w:line="320"/>
        <w:jc w:val="both"/>
      </w:pPr>
      <w:r>
        <w:t xml:space="preserve">The long cylindrical shape of the trailer turns out to solve this problem geometrically. Wind from any direction wraps around the barrel vault and the parabolic end domes, accelerating where the cross-section narrows (the venturi effect now operating on the outside of the structure) and creating a localized high-velocity flow at the dome surface. A fan mounted at the dome center, with its rotation axis aligned with the trailer's longitudinal axis, sees an accelerated flow regardless of the upstream wind direction. The 120° arc geometry is, in this respect, a self-aligning collector — the same shape that wastes less noon sun than a semicircle also presents less directional bias to the wind.</w:t>
      </w:r>
    </w:p>
    <w:p>
      <w:pPr>
        <w:spacing w:after="180" w:line="320"/>
        <w:jc w:val="both"/>
      </w:pPr>
      <w:r>
        <w:t xml:space="preserve">The fan size optimization, given the available dome diameter of ninety inches, balances three factors: the concentration ratio (larger dome relative to fan diameter increases local velocity at the fan), the structural rim remaining around the fan hole (which determines the dome's load capacity), and the commercial availability of suitable generator-rated axial fans. A twenty-four-inch ducted axial fan at the dome center yields a concentration ratio of 14:1, leaves thirty-three inches of dome rim around the cut-out for structural support, and matches the inlet diameter of standard direct-drive permanent magnet generators sold for small-scale wind installations. The selected unit is a 24-inch DC axial fan with a permanent magnet alternator stage, rated 24 V nominal, cut-in at 2 m/s, rated 400 W at 12 m/s.</w:t>
      </w:r>
    </w:p>
    <w:p>
      <w:pPr>
        <w:spacing w:after="180" w:line="320"/>
        <w:jc w:val="both"/>
      </w:pPr>
      <w:r>
        <w:t xml:space="preserve">At the Petén design wind speed of 3 m/s, with the 14:1 area concentration boosting local flow to approximately 4.5 m/s, each dome fan produces approximately 15 watts of continuous output. Two fans — one per dome — produce 30 watts. At 5 m/s moderate wind: 65 watts each, 130 watts total. At 8 m/s strong wind: 145 watts each, 290 watts total. The average annual yield, integrated over the Petén wind probability distribution, is approximately 140 kWh per year. This is small in absolute terms compared to the solar array's 7.3 MWh, but the wind power runs through the night when the solar array is dark, providing the continuous trickle-charge that keeps the Sol Arc bus voltage stable during the lowest-state-of-charge hours.</w:t>
      </w:r>
    </w:p>
    <w:p>
      <w:pPr>
        <w:spacing w:after="180" w:line="320"/>
        <w:jc w:val="both"/>
      </w:pPr>
      <w:r>
        <w:t xml:space="preserve">The cooling bonus is larger than the direct power. External airflow over the solar panels reduces their operating temperature by twenty to forty degrees Celsius depending on wind speed. At 3 m/s the panel temperature drops from approximately 65°C (still air) to 30°C — a thirty-five-degree improvement that recovers roughly fourteen percent of the panel output that would otherwise be lost to thermal derating. The fan-generators, in this sense, do not produce 30 watts directly. They produce 30 watts plus an additional 380 watts of recovered solar capacity. The wind system pays for itself ten times over through its cooling effect.</w:t>
      </w:r>
    </w:p>
    <w:p>
      <w:pPr>
        <w:pStyle w:val="Heading1"/>
      </w:pPr>
      <w:r>
        <w:rPr>
          <w:b/>
          <w:bCs/>
        </w:rPr>
        <w:t xml:space="preserve">§12.12 Downforce and High-Speed Stability</w:t>
      </w:r>
    </w:p>
    <w:p>
      <w:pPr>
        <w:spacing w:after="180" w:line="320"/>
        <w:jc w:val="both"/>
      </w:pPr>
      <w:r>
        <w:t xml:space="preserve">The 120° arc generates a pressure differential between the upper and lower flow paths whenever wind moves along the trailer's length axis. The upper path is longer than the lower path by approximately 21%, and the flow speeds up over the longer path to maintain continuity, producing a low-pressure region above the vault. The integrated pressure difference acts as net downforce. At rest in a 3 m/s canyon breeze, the downforce is modest — approximately 87 newtons, or twenty pounds-force. At highway towing speeds the downforce scales with the square of velocity, and the numbers change character entirely.</w:t>
      </w:r>
    </w:p>
    <w:p>
      <w:pPr>
        <w:spacing w:after="180" w:line="320"/>
        <w:jc w:val="both"/>
      </w:pPr>
      <w:r>
        <w:t xml:space="preserve">At sixty miles per hour (27 m/s headwind effective velocity), the dynamic pressure rises to 420 pascals. The plan area of the trailer's projected upper surface is approximately seventeen square meters. With a net downforce coefficient of approximately 1.0 between upper and lower paths, the downforce reaches roughly 7,100 newtons — sixteen hundred pounds-force pressing the trailer down onto the highway. This is excellent for stability. It is poor for the trailer hitch and the tow vehicle's rear suspension. Unmodified, the system overloads the hitch ball at sustained highway speeds, and the rear axle of the tow vehicle squats by an inch or more.</w:t>
      </w:r>
    </w:p>
    <w:p>
      <w:pPr>
        <w:spacing w:after="180" w:line="320"/>
        <w:jc w:val="both"/>
      </w:pPr>
      <w:r>
        <w:t xml:space="preserve">The active management solution is a deployable spoiler at the apex of the vault. The spoiler is a hinged section of CF panel, approximately twenty inches long by the full width of the apex, that can rotate upward into the airflow on a controlled servo. When raised, the spoiler spoils the pressure differential — it forces flow separation on the upper surface, eliminating the low-pressure region and dropping the downforce by a factor of three or more. The system is normally closed at low speeds (where downforce stability is welcome) and progressively deployed as speed rises above thirty-five miles per hour. The control logic reads from a Pitot tube mounted on the trailer's leading edge and modulates the spoiler angle to maintain hitch load below five hundred pounds-force across all conditions.</w:t>
      </w:r>
    </w:p>
    <w:p>
      <w:pPr>
        <w:spacing w:after="180" w:line="320"/>
        <w:jc w:val="both"/>
      </w:pPr>
      <w:r>
        <w:t xml:space="preserve">A secondary function of the spoiler is gust mitigation. A sudden crosswind gust at highway speed produces both lift and yaw on a long-bodied trailer, and the combination can initiate sway oscillation. The spoiler's servo can respond to crosswind sensed by a side-mounted Pitot at faster than human reaction time, raising on one side of the apex and not the other to apply a stabilizing roll moment. This is the same active aerodynamic management used on modern competition sports cars and Le Mans prototypes. The trailer borrows the technique because the same principle applies: a body shape optimized for stationary or slow-flow conditions cannot also be optimal at high speed, and the difference must be managed actively.</w:t>
      </w:r>
    </w:p>
    <w:p>
      <w:pPr>
        <w:spacing w:after="180" w:line="320"/>
        <w:jc w:val="both"/>
      </w:pPr>
      <w:r>
        <w:t xml:space="preserve">The spoiler hardware is modest. A linear servo, a hinged CF panel, a control microcontroller, two Pitot tubes, and the wiring to integrate with the trailer's 12-volt accessory bus. The total parts count is under twenty pieces. The integration is light enough that it adds less than ten pounds to the trailer's mass.</w:t>
      </w:r>
    </w:p>
    <w:p>
      <w:pPr>
        <w:pStyle w:val="Heading1"/>
      </w:pPr>
      <w:r>
        <w:rPr>
          <w:b/>
          <w:bCs/>
        </w:rPr>
        <w:t xml:space="preserve">§12.13 CFD Validation — Predicting Shape and Flow</w:t>
      </w:r>
    </w:p>
    <w:p>
      <w:pPr>
        <w:spacing w:after="180" w:line="320"/>
        <w:jc w:val="both"/>
      </w:pPr>
      <w:r>
        <w:t xml:space="preserve">Two computational fluid dynamics studies are planned, both using Autodesk CFD under a thirty-day evaluation license. The first predicts the dome shape during forming. The second predicts the external airflow around the finished trailer. Together they close the loop between design and verification before any physical prototype is built.</w:t>
      </w:r>
    </w:p>
    <w:p>
      <w:pPr>
        <w:pStyle w:val="Heading2"/>
      </w:pPr>
      <w:r>
        <w:rPr>
          <w:b/>
          <w:bCs/>
        </w:rPr>
        <w:t xml:space="preserve">§12.13.1 Forming Simulation — The Dome Before the Clay</w:t>
      </w:r>
    </w:p>
    <w:p>
      <w:pPr>
        <w:spacing w:after="180" w:line="320"/>
        <w:jc w:val="both"/>
      </w:pPr>
      <w:r>
        <w:t xml:space="preserve">The forming simulation models the clay-plus-balloon membrane as a non-Newtonian fluid layer above a slowly draining water reservoir. Input parameters: pool diameter, initial water depth, oil layer thickness, clay disc thickness and density, balloon stretch modulus, drain orifice diameter and pressure head. The simulation tracks the water free surface as it descends, the membrane deformation as it follows the surface, and the clay shape that emerges. Output: the final dome geometry as a function of total water drained, with predictions of clay thickness variation across the surface (thinner at center, thicker near the rim where the membrane stretches less).</w:t>
      </w:r>
    </w:p>
    <w:p>
      <w:pPr>
        <w:spacing w:after="180" w:line="320"/>
        <w:jc w:val="both"/>
      </w:pPr>
      <w:r>
        <w:t xml:space="preserve">The simulation answers the practical questions of operation. How fast can the valve be opened without producing membrane oscillation? What total drain volume produces a 200 mm deep dome? At what point in the drain does the clay's own stiffness begin to control the shape rather than the membrane below? These are not academic questions — they directly determine the operator's procedure. The simulation provides a drain schedule, hour by minute, that converges to the target dome shape with predictable accuracy.</w:t>
      </w:r>
    </w:p>
    <w:p>
      <w:pPr>
        <w:pStyle w:val="Heading2"/>
      </w:pPr>
      <w:r>
        <w:rPr>
          <w:b/>
          <w:bCs/>
        </w:rPr>
        <w:t xml:space="preserve">§12.13.2 External Aerodynamics — Flow Around the Blue Rocket</w:t>
      </w:r>
    </w:p>
    <w:p>
      <w:pPr>
        <w:spacing w:after="180" w:line="320"/>
        <w:jc w:val="both"/>
      </w:pPr>
      <w:r>
        <w:t xml:space="preserve">The aerodynamic simulation imports the trailer's full STL geometry — generated directly from the MATLAB script in §12.7 and exported to Autodesk CFD's standard format — and computes the steady-state flow field at wind speeds ranging from rest to 30 m/s, and at wind angles ranging from head-on to broadside. The output is a full pressure map across the entire skin surface, integrated to yield drag, lift, downforce, and yaw moment coefficients as functions of speed and angle.</w:t>
      </w:r>
    </w:p>
    <w:p>
      <w:pPr>
        <w:spacing w:after="180" w:line="320"/>
        <w:jc w:val="both"/>
      </w:pPr>
      <w:r>
        <w:t xml:space="preserve">Specific questions to be answered: where does the flow separate at high speed? Does the parabolic south end maintain attached flow even in head-on conditions, or does it stall above a critical speed? How does the dome fan location compare against alternative mount positions for capturing maximum velocity? What is the optimal spoiler angle as a function of velocity for maintaining target hitch load? What is the dynamic pressure profile on the panels under sustained crosswind — does any region exceed the skin's design pressure?</w:t>
      </w:r>
    </w:p>
    <w:p>
      <w:pPr>
        <w:spacing w:after="180" w:line="320"/>
        <w:jc w:val="both"/>
      </w:pPr>
      <w:r>
        <w:t xml:space="preserve">The CFD model also enables iterative design refinement. If the predicted flow separates earlier than desired on the upper arc at high speed, the arc angle can be reduced from 120° to perhaps 100° or 90°, and the simulation re-run. If the predicted downforce exceeds the hitch capacity even with the spoiler fully deployed, additional spoiler area can be added at the impedance corners. The full design loop — from MATLAB geometry to STL to CFD to revised geometry — runs in under a day. A dozen design variants can be compared before any physical material is cut.</w:t>
      </w:r>
    </w:p>
    <w:p>
      <w:pPr>
        <w:pStyle w:val="Heading1"/>
      </w:pPr>
      <w:r>
        <w:rPr>
          <w:b/>
          <w:bCs/>
        </w:rPr>
        <w:t xml:space="preserve">§12.14 First Build — Backyard Prototype, Austin</w:t>
      </w:r>
    </w:p>
    <w:p>
      <w:pPr>
        <w:spacing w:after="180" w:line="320"/>
        <w:jc w:val="both"/>
      </w:pPr>
      <w:r>
        <w:t xml:space="preserve">The first physical prototype will be built in a backyard in northwest Austin. The site is unremarkable: a quarter-acre lot with a level concrete pad, a salvaged above-ground pool frame leaning against the fence, a workshop converted from a detached garage. The neighborhood is residential, the climate matches the Texas Hill Country specification of §12.1, and the materials are all sourced locally — clay from a deposit two counties west, carbon fiber tube from a Houston composites supplier, mineral oil and mineral spirits from any hardware store, latex weather balloon shipped overnight from a NOAA-spec supplier in Maryland.</w:t>
      </w:r>
    </w:p>
    <w:p>
      <w:pPr>
        <w:spacing w:after="180" w:line="320"/>
        <w:jc w:val="both"/>
      </w:pPr>
      <w:r>
        <w:t xml:space="preserve">The first build is a single end-dome, formed at full scale. The goal is not to produce a flight-ready part but to validate the process. Specifically: that the balloon-and-pool method produces the dome shape predicted by simulation, that the spray-on clay method achieves uniform thickness without tearing, that the CF backing bonds cleanly to the green clay surface, and that the CTE-matched composite skin survives a Texas summer-day thermal cycle without cracking. The single dome will be cycled outdoors for thirty days, instrumented with strain gauges on its outer surface and a thermocouple array on the interior. If the strain readings track the model's predictions within twenty percent, the process is validated and the full trailer build proceeds. If they do not, the model is updated and the dome is reformed — the pool, the oil, and the clay are all reusable, and a second attempt costs less than a hundred dollars in materials.</w:t>
      </w:r>
    </w:p>
    <w:p>
      <w:pPr>
        <w:spacing w:after="180" w:line="320"/>
        <w:jc w:val="both"/>
      </w:pPr>
      <w:r>
        <w:t xml:space="preserve">This is the practical test of the alchemists' method. The priest at Chichén Itzá had no laboratory. He had a pottery wheel, a fire, three ingredients, and the willingness to try the combination repeatedly until something unexpected happened. The backyard in Austin has the same architecture. A pool, some clay, a CF ring, the willingness to drain the water once and observe what dome shape emerges. The next time, drain a different amount. The next time, change the spray pattern. The method becomes the science. The science becomes the chapter. The chapter, eventually, becomes the trailer.</w:t>
      </w:r>
    </w:p>
    <w:p>
      <w:pPr>
        <w:pStyle w:val="Heading1"/>
      </w:pPr>
      <w:r>
        <w:rPr>
          <w:b/>
          <w:bCs/>
        </w:rPr>
        <w:t xml:space="preserve">Epilogue: The Alchemists of Northwest Austin, 2026</w:t>
      </w:r>
    </w:p>
    <w:p>
      <w:pPr>
        <w:spacing w:after="180" w:line="320"/>
        <w:jc w:val="both"/>
      </w:pPr>
      <w:r>
        <w:t xml:space="preserve">It is mid-afternoon in late spring 2026. The backyard in Austin is in full sun, the concrete pad already too hot to stand on barefoot. The pool sits at the center of the pad, salvaged from a neighbor's curb the previous October, its blue plastic liner shimmering with the seven hundred gallons of water that have been settling since dawn. The surface, in the still air, is glass.</w:t>
      </w:r>
    </w:p>
    <w:p>
      <w:pPr>
        <w:spacing w:after="180" w:line="320"/>
        <w:jc w:val="both"/>
      </w:pPr>
      <w:r>
        <w:t xml:space="preserve">Two people work at the edges. One is mixing clay slurry in a five-gallon bucket — a beige slip of local Texas Hill Country clay, sieved through a window screen, thinned with water to the consistency of heavy cream, fortified with a handful of chopped sisal fiber from a Mexican supplier. The other is measuring out mineral oil and spirits in a graduated jug, three parts oil to one part spirits, working from a printed checklist tape-secured to the back of a folding chair. Neither speaks. They have run this sequence in simulation a hundred times. The hands move without instruction.</w:t>
      </w:r>
    </w:p>
    <w:p>
      <w:pPr>
        <w:spacing w:after="180" w:line="320"/>
        <w:jc w:val="both"/>
      </w:pPr>
      <w:r>
        <w:t xml:space="preserve">At the appointed moment the oil is poured. It spreads across the water in a slow, deliberate iridescent film, finding its level in fifteen minutes of waiting. The carbon fiber ring — ninety inches across, salvaged offcuts spliced together into a perfect circle in the workshop the previous week — is lowered onto the pool rim. The latex weather balloon is stretched across the ring, drumhead-tight, fastened with stainless hose clamps. The membrane sits below the oil now, a translucent layer between fluid and ring.</w:t>
      </w:r>
    </w:p>
    <w:p>
      <w:pPr>
        <w:spacing w:after="180" w:line="320"/>
        <w:jc w:val="both"/>
      </w:pPr>
      <w:r>
        <w:t xml:space="preserve">The mud sprayer fires. A measured pattern of clay coats the membrane, building from center outward, each pass adding a millimeter of thickness, the operator monitoring with a depth gauge. The work takes forty minutes. By the time the last coat is laid the disc is uniform, glistening, holding still under its own weight. The setup phase is done.</w:t>
      </w:r>
    </w:p>
    <w:p>
      <w:pPr>
        <w:spacing w:after="180" w:line="320"/>
        <w:jc w:val="both"/>
      </w:pPr>
      <w:r>
        <w:t xml:space="preserve">Now the valve. A one-inch ball valve, cracked open a quarter turn. Water begins to leave the pool through a length of garden hose that runs across the pad to a holding tank — which will become irrigation for the lemon trees by next week. The water level descends visibly. The membrane stretches downward. The clay rides on the membrane, sagging into a shallow bowl, then a deeper one, then deeper still.</w:t>
      </w:r>
    </w:p>
    <w:p>
      <w:pPr>
        <w:spacing w:after="180" w:line="320"/>
        <w:jc w:val="both"/>
      </w:pPr>
      <w:r>
        <w:t xml:space="preserve">The geometry that emerges over the next ninety minutes is the geometry that has been on the screen for six months: the parabolic south end dome of the Azul Maya trailer, predicted by Autodesk CFD to within three millimeters of its actual measured profile. The two people standing at the edge of the pool watch the simulation become real.</w:t>
      </w:r>
    </w:p>
    <w:p>
      <w:pPr>
        <w:spacing w:after="180" w:line="320"/>
        <w:jc w:val="both"/>
      </w:pPr>
      <w:r>
        <w:t xml:space="preserve">It is also, in some sense that neither of them can quite articulate, the same gesture as the priest at the cenote. A handful of materials — none of them remarkable individually — combined with the right knowledge of how they behave when they meet each other. Earth and water and oil. Fiber and pressure and heat. Geometry that emerges not from a mold but from physics. A vessel that is more than the sum of its parts.</w:t>
      </w:r>
    </w:p>
    <w:p>
      <w:pPr>
        <w:spacing w:after="180" w:line="320"/>
        <w:jc w:val="both"/>
      </w:pPr>
      <w:r>
        <w:t xml:space="preserve">The priest knew what to do but not why. We know why, and we have done it differently — at scale, with composites the priest could not have imagined, in a backyard he could not have located on any map he understood. But the method is his. The patience is his. The willingness to wait while water finds its level, while oil seeks its surface, while clay settles into its own destined shape — that, also, is his.</w:t>
      </w:r>
    </w:p>
    <w:p>
      <w:pPr>
        <w:spacing w:after="180" w:line="320"/>
        <w:jc w:val="both"/>
      </w:pPr>
      <w:r>
        <w:t xml:space="preserve">In an hour the valve will be closed. The clay will cure overnight on the residual water beneath. By morning the CF backing will be laid. By the end of the week the dome will be lifted off the pool, weighed (eighteen pounds, exactly as predicted), inspected, and bolted to its position at the south end of the trailer that is taking form in the workshop. The trailer will roll out of the backyard, eventually, on its own four tires. It will travel south, find its canyon. It will sit there, sealed and silent, the quiet machine humming inside it, the fans turning on its domes, the panels feeding the bus, the priest's blue color holding under a sun a thousand miles south of where it was born.</w:t>
      </w:r>
    </w:p>
    <w:p>
      <w:pPr>
        <w:spacing w:after="180" w:line="320"/>
        <w:jc w:val="both"/>
      </w:pPr>
      <w:r>
        <w:t xml:space="preserve">This is the chapter. This is the trailer. This is the alchemy.</w:t>
      </w:r>
    </w:p>
    <w:p>
      <w:pPr>
        <w:pBdr>
          <w:bottom w:val="double" w:color="444444" w:sz="12" w:space="12"/>
        </w:pBdr>
        <w:spacing w:after="300" w:before="400"/>
      </w:pPr>
    </w:p>
    <w:p>
      <w:pPr>
        <w:spacing w:after="240"/>
        <w:jc w:val="center"/>
      </w:pPr>
      <w:r>
        <w:rPr>
          <w:i/>
          <w:iCs/>
          <w:color w:val="888888"/>
        </w:rPr>
        <w:t xml:space="preserve">— </w:t>
      </w:r>
      <w:r>
        <w:rPr>
          <w:i/>
          <w:iCs/>
          <w:color w:val="444444"/>
        </w:rPr>
        <w:t xml:space="preserve">end Chapter 12</w:t>
      </w:r>
      <w:r>
        <w:rPr>
          <w:i/>
          <w:iCs/>
          <w:color w:val="888888"/>
        </w:rPr>
        <w:t xml:space="preserve"> · </w:t>
      </w:r>
      <w:r>
        <w:rPr>
          <w:i/>
          <w:iCs/>
          <w:color w:val="444444"/>
        </w:rPr>
        <w:t xml:space="preserve">Chapter 13 — The Quiet Machine — follows</w:t>
      </w:r>
      <w:r>
        <w:rPr>
          <w:i/>
          <w:iCs/>
          <w:color w:val="888888"/>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sz w:val="32"/>
      <w:szCs w:val="32"/>
    </w:rPr>
  </w:style>
  <w:style w:type="paragraph" w:styleId="Heading2">
    <w:name w:val="Heading 2"/>
    <w:basedOn w:val="Normal"/>
    <w:next w:val="Normal"/>
    <w:qFormat/>
    <w:pPr>
      <w:spacing w:after="18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2026-05-24T17:45:50.727Z</dcterms:created>
  <dcterms:modified xsi:type="dcterms:W3CDTF">2026-05-24T17:45:50.727Z</dcterms:modified>
</cp:coreProperties>
</file>

<file path=docProps/custom.xml><?xml version="1.0" encoding="utf-8"?>
<Properties xmlns="http://schemas.openxmlformats.org/officeDocument/2006/custom-properties" xmlns:vt="http://schemas.openxmlformats.org/officeDocument/2006/docPropsVTypes"/>
</file>