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3AB" w:rsidRDefault="0032415B" w:rsidP="003D3366">
      <w:pPr>
        <w:pStyle w:val="1"/>
      </w:pPr>
      <w:r>
        <w:rPr>
          <w:rFonts w:hint="eastAsia"/>
        </w:rPr>
        <w:t>11</w:t>
      </w:r>
      <w:r w:rsidR="003D3366">
        <w:rPr>
          <w:rFonts w:hint="eastAsia"/>
        </w:rPr>
        <w:t>月财务报告</w:t>
      </w:r>
    </w:p>
    <w:p w:rsidR="003D3366" w:rsidRDefault="00E55A24">
      <w:r>
        <w:rPr>
          <w:rFonts w:hint="eastAsia"/>
        </w:rPr>
        <w:t>20181130</w:t>
      </w:r>
    </w:p>
    <w:p w:rsidR="003D3366" w:rsidRDefault="0054755D" w:rsidP="0056147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220CB9">
        <w:rPr>
          <w:rFonts w:hint="eastAsia"/>
        </w:rPr>
        <w:t>11</w:t>
      </w:r>
      <w:r w:rsidR="006120A4">
        <w:rPr>
          <w:rFonts w:hint="eastAsia"/>
        </w:rPr>
        <w:t>月</w:t>
      </w:r>
      <w:r w:rsidR="00DF3B10">
        <w:rPr>
          <w:rFonts w:hint="eastAsia"/>
        </w:rPr>
        <w:t>月</w:t>
      </w:r>
      <w:r w:rsidR="006120A4">
        <w:rPr>
          <w:rFonts w:hint="eastAsia"/>
        </w:rPr>
        <w:t>度账</w:t>
      </w:r>
    </w:p>
    <w:p w:rsidR="008F4F81" w:rsidRDefault="008F4F81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月份将公私帐通算，不在区分，相应的财务费用暂不记录。</w:t>
      </w:r>
    </w:p>
    <w:p w:rsidR="0054526E" w:rsidRDefault="0054526E">
      <w:pPr>
        <w:rPr>
          <w:rFonts w:hint="eastAsia"/>
        </w:rPr>
      </w:pPr>
      <w:r>
        <w:rPr>
          <w:rFonts w:hint="eastAsia"/>
        </w:rPr>
        <w:t>收入</w:t>
      </w:r>
      <w:r>
        <w:rPr>
          <w:rFonts w:hint="eastAsia"/>
        </w:rPr>
        <w:t>6</w:t>
      </w:r>
      <w:r>
        <w:rPr>
          <w:rFonts w:hint="eastAsia"/>
        </w:rPr>
        <w:t>笔，其中</w:t>
      </w:r>
      <w:r>
        <w:rPr>
          <w:rFonts w:hint="eastAsia"/>
        </w:rPr>
        <w:t>1</w:t>
      </w:r>
      <w:r>
        <w:rPr>
          <w:rFonts w:hint="eastAsia"/>
        </w:rPr>
        <w:t>笔为退款，</w:t>
      </w:r>
      <w:r w:rsidR="00B40C59">
        <w:rPr>
          <w:rFonts w:hint="eastAsia"/>
        </w:rPr>
        <w:t>合计</w:t>
      </w:r>
      <w:r w:rsidR="00B40C59">
        <w:rPr>
          <w:rFonts w:hint="eastAsia"/>
        </w:rPr>
        <w:t>20139.63</w:t>
      </w:r>
      <w:r w:rsidR="00B40C59">
        <w:rPr>
          <w:rFonts w:hint="eastAsia"/>
        </w:rPr>
        <w:t>。</w:t>
      </w:r>
    </w:p>
    <w:p w:rsidR="009525B0" w:rsidRDefault="009525B0">
      <w:pPr>
        <w:rPr>
          <w:rFonts w:hint="eastAsia"/>
        </w:rPr>
      </w:pPr>
      <w:r>
        <w:rPr>
          <w:rFonts w:hint="eastAsia"/>
        </w:rPr>
        <w:t>支出</w:t>
      </w:r>
      <w:r>
        <w:rPr>
          <w:rFonts w:hint="eastAsia"/>
        </w:rPr>
        <w:t>22</w:t>
      </w:r>
      <w:r>
        <w:rPr>
          <w:rFonts w:hint="eastAsia"/>
        </w:rPr>
        <w:t>笔，合计</w:t>
      </w:r>
      <w:r>
        <w:rPr>
          <w:rFonts w:hint="eastAsia"/>
        </w:rPr>
        <w:t>37600.66.</w:t>
      </w:r>
    </w:p>
    <w:p w:rsidR="00F73839" w:rsidRDefault="00F73839"/>
    <w:p w:rsidR="00F73839" w:rsidRPr="00E5531D" w:rsidRDefault="00F73839" w:rsidP="0095399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，总帐</w:t>
      </w:r>
    </w:p>
    <w:p w:rsidR="000E1693" w:rsidRDefault="00020A57">
      <w:r>
        <w:rPr>
          <w:rFonts w:hint="eastAsia"/>
        </w:rPr>
        <w:t>截至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C801AF">
        <w:rPr>
          <w:rFonts w:hint="eastAsia"/>
        </w:rPr>
        <w:t>11</w:t>
      </w:r>
      <w:r>
        <w:rPr>
          <w:rFonts w:hint="eastAsia"/>
        </w:rPr>
        <w:t>月</w:t>
      </w:r>
      <w:r w:rsidR="00C801AF">
        <w:rPr>
          <w:rFonts w:hint="eastAsia"/>
        </w:rPr>
        <w:t>30</w:t>
      </w:r>
      <w:r>
        <w:rPr>
          <w:rFonts w:hint="eastAsia"/>
        </w:rPr>
        <w:t>日，节余资金</w:t>
      </w:r>
      <w:r w:rsidR="008655F9">
        <w:rPr>
          <w:rFonts w:hint="eastAsia"/>
        </w:rPr>
        <w:t>2</w:t>
      </w:r>
      <w:r w:rsidR="004C36D6">
        <w:rPr>
          <w:rFonts w:hint="eastAsia"/>
        </w:rPr>
        <w:t>65529.46</w:t>
      </w:r>
      <w:r w:rsidR="00D462C1">
        <w:rPr>
          <w:rFonts w:hint="eastAsia"/>
        </w:rPr>
        <w:t>。</w:t>
      </w:r>
    </w:p>
    <w:p w:rsidR="00953994" w:rsidRPr="00953994" w:rsidRDefault="00953994"/>
    <w:p w:rsidR="000E1693" w:rsidRDefault="00F73839" w:rsidP="0056147D">
      <w:pPr>
        <w:pStyle w:val="2"/>
      </w:pPr>
      <w:r>
        <w:rPr>
          <w:rFonts w:hint="eastAsia"/>
        </w:rPr>
        <w:t>3</w:t>
      </w:r>
      <w:r w:rsidR="000E1693">
        <w:t>，</w:t>
      </w:r>
      <w:r w:rsidR="00E5337F">
        <w:rPr>
          <w:rFonts w:hint="eastAsia"/>
        </w:rPr>
        <w:t>8</w:t>
      </w:r>
      <w:r w:rsidR="00E5337F">
        <w:rPr>
          <w:rFonts w:hint="eastAsia"/>
        </w:rPr>
        <w:t>月至</w:t>
      </w:r>
      <w:r w:rsidR="00974A23">
        <w:rPr>
          <w:rFonts w:hint="eastAsia"/>
        </w:rPr>
        <w:t>11</w:t>
      </w:r>
      <w:r w:rsidR="00E5337F">
        <w:rPr>
          <w:rFonts w:hint="eastAsia"/>
        </w:rPr>
        <w:t>月</w:t>
      </w:r>
      <w:r w:rsidR="00567044">
        <w:rPr>
          <w:rFonts w:hint="eastAsia"/>
        </w:rPr>
        <w:t>的帐目分析</w:t>
      </w:r>
    </w:p>
    <w:p w:rsidR="00CD2021" w:rsidRDefault="00EF2F8F" w:rsidP="00CD2021">
      <w:r>
        <w:rPr>
          <w:rFonts w:hint="eastAsia"/>
        </w:rPr>
        <w:t>1</w:t>
      </w:r>
      <w:r>
        <w:rPr>
          <w:rFonts w:hint="eastAsia"/>
        </w:rPr>
        <w:t>，</w:t>
      </w:r>
      <w:r w:rsidR="000337B5">
        <w:rPr>
          <w:rFonts w:hint="eastAsia"/>
        </w:rPr>
        <w:t>现金流图</w:t>
      </w:r>
    </w:p>
    <w:p w:rsidR="00CD2021" w:rsidRDefault="00B0736F" w:rsidP="00CD2021">
      <w:r w:rsidRPr="00B0736F">
        <w:drawing>
          <wp:inline distT="0" distB="0" distL="0" distR="0">
            <wp:extent cx="4629150" cy="3536950"/>
            <wp:effectExtent l="19050" t="0" r="19050" b="63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C652A" w:rsidRPr="000337B5" w:rsidRDefault="00DC652A" w:rsidP="00CD2021"/>
    <w:p w:rsidR="00391D9E" w:rsidRPr="00391D9E" w:rsidRDefault="00391D9E" w:rsidP="00391D9E"/>
    <w:p w:rsidR="000E1693" w:rsidRDefault="00795758">
      <w:r>
        <w:rPr>
          <w:rFonts w:hint="eastAsia"/>
        </w:rPr>
        <w:t>2</w:t>
      </w:r>
      <w:r w:rsidR="00693692">
        <w:rPr>
          <w:rFonts w:hint="eastAsia"/>
        </w:rPr>
        <w:t>，收入</w:t>
      </w:r>
    </w:p>
    <w:p w:rsidR="00003C51" w:rsidRDefault="00003C51">
      <w:r>
        <w:rPr>
          <w:rFonts w:hint="eastAsia"/>
        </w:rPr>
        <w:lastRenderedPageBreak/>
        <w:t>融资：</w:t>
      </w:r>
      <w:r>
        <w:rPr>
          <w:rFonts w:hint="eastAsia"/>
        </w:rPr>
        <w:t>550000</w:t>
      </w:r>
    </w:p>
    <w:p w:rsidR="00003C51" w:rsidRDefault="00003C51">
      <w:r>
        <w:rPr>
          <w:rFonts w:hint="eastAsia"/>
        </w:rPr>
        <w:t>主营收入：</w:t>
      </w:r>
      <w:r w:rsidR="009D0CBA">
        <w:rPr>
          <w:rFonts w:hint="eastAsia"/>
        </w:rPr>
        <w:t>17789.63</w:t>
      </w:r>
    </w:p>
    <w:p w:rsidR="00003C51" w:rsidRDefault="00003C51">
      <w:r>
        <w:rPr>
          <w:rFonts w:hint="eastAsia"/>
        </w:rPr>
        <w:t>非主营收入：</w:t>
      </w:r>
      <w:r w:rsidR="00E4275C">
        <w:rPr>
          <w:rFonts w:hint="eastAsia"/>
        </w:rPr>
        <w:t>2477.12</w:t>
      </w:r>
    </w:p>
    <w:p w:rsidR="00795758" w:rsidRDefault="00795758"/>
    <w:p w:rsidR="000E1693" w:rsidRDefault="000E1693"/>
    <w:p w:rsidR="000E1693" w:rsidRDefault="000E1693"/>
    <w:p w:rsidR="000E1693" w:rsidRDefault="00432552">
      <w:r>
        <w:rPr>
          <w:rFonts w:hint="eastAsia"/>
        </w:rPr>
        <w:t>3</w:t>
      </w:r>
      <w:r>
        <w:rPr>
          <w:rFonts w:hint="eastAsia"/>
        </w:rPr>
        <w:t>，支出科目</w:t>
      </w:r>
    </w:p>
    <w:p w:rsidR="00BC35CF" w:rsidRDefault="00BC35CF">
      <w:r>
        <w:rPr>
          <w:rFonts w:hint="eastAsia"/>
        </w:rPr>
        <w:t>场地支出：</w:t>
      </w:r>
      <w:r w:rsidR="00AD70FF">
        <w:rPr>
          <w:rFonts w:hint="eastAsia"/>
        </w:rPr>
        <w:t>152680</w:t>
      </w:r>
    </w:p>
    <w:p w:rsidR="00AD70FF" w:rsidRDefault="00AD70FF">
      <w:r>
        <w:rPr>
          <w:rFonts w:hint="eastAsia"/>
        </w:rPr>
        <w:t>长期费用支出：</w:t>
      </w:r>
      <w:r w:rsidR="00320C85">
        <w:rPr>
          <w:rFonts w:hint="eastAsia"/>
        </w:rPr>
        <w:t>110167</w:t>
      </w:r>
      <w:r w:rsidR="00CE53A5">
        <w:rPr>
          <w:rFonts w:hint="eastAsia"/>
        </w:rPr>
        <w:t>.7</w:t>
      </w:r>
    </w:p>
    <w:p w:rsidR="003E0513" w:rsidRDefault="007E11D4">
      <w:r>
        <w:rPr>
          <w:rFonts w:hint="eastAsia"/>
        </w:rPr>
        <w:t>日常费用支出：</w:t>
      </w:r>
      <w:r w:rsidR="00320C85">
        <w:rPr>
          <w:rFonts w:hint="eastAsia"/>
        </w:rPr>
        <w:t>17014.07</w:t>
      </w:r>
      <w:r w:rsidR="009A2E61">
        <w:rPr>
          <w:rFonts w:hint="eastAsia"/>
        </w:rPr>
        <w:t xml:space="preserve"> </w:t>
      </w:r>
    </w:p>
    <w:p w:rsidR="00ED4A05" w:rsidRDefault="00ED4A05">
      <w:r>
        <w:rPr>
          <w:rFonts w:hint="eastAsia"/>
        </w:rPr>
        <w:t>人员费用支出：</w:t>
      </w:r>
      <w:r w:rsidR="00320C85">
        <w:rPr>
          <w:rFonts w:hint="eastAsia"/>
        </w:rPr>
        <w:t>24865.52</w:t>
      </w:r>
    </w:p>
    <w:p w:rsidR="000A2D8E" w:rsidRDefault="000A2D8E"/>
    <w:p w:rsidR="000E1693" w:rsidRDefault="0014092C">
      <w:r w:rsidRPr="0014092C">
        <w:drawing>
          <wp:inline distT="0" distB="0" distL="0" distR="0">
            <wp:extent cx="4579327" cy="2740269"/>
            <wp:effectExtent l="19050" t="0" r="11723" b="2931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E1693" w:rsidRDefault="000E1693"/>
    <w:sectPr w:rsidR="000E1693" w:rsidSect="00836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585" w:rsidRDefault="00E33585" w:rsidP="003D3366">
      <w:r>
        <w:separator/>
      </w:r>
    </w:p>
  </w:endnote>
  <w:endnote w:type="continuationSeparator" w:id="1">
    <w:p w:rsidR="00E33585" w:rsidRDefault="00E33585" w:rsidP="003D33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585" w:rsidRDefault="00E33585" w:rsidP="003D3366">
      <w:r>
        <w:separator/>
      </w:r>
    </w:p>
  </w:footnote>
  <w:footnote w:type="continuationSeparator" w:id="1">
    <w:p w:rsidR="00E33585" w:rsidRDefault="00E33585" w:rsidP="003D33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366"/>
    <w:rsid w:val="00003C51"/>
    <w:rsid w:val="00020A57"/>
    <w:rsid w:val="000337B5"/>
    <w:rsid w:val="000A2D8E"/>
    <w:rsid w:val="000D6912"/>
    <w:rsid w:val="000E1693"/>
    <w:rsid w:val="00105184"/>
    <w:rsid w:val="0014092C"/>
    <w:rsid w:val="00220CB9"/>
    <w:rsid w:val="00230135"/>
    <w:rsid w:val="002F225E"/>
    <w:rsid w:val="00320C85"/>
    <w:rsid w:val="0032415B"/>
    <w:rsid w:val="00391D9E"/>
    <w:rsid w:val="003D3366"/>
    <w:rsid w:val="003E0513"/>
    <w:rsid w:val="00432552"/>
    <w:rsid w:val="004806CA"/>
    <w:rsid w:val="004C36D6"/>
    <w:rsid w:val="004E40AC"/>
    <w:rsid w:val="0054526E"/>
    <w:rsid w:val="0054755D"/>
    <w:rsid w:val="0056147D"/>
    <w:rsid w:val="00567044"/>
    <w:rsid w:val="005C18DD"/>
    <w:rsid w:val="006120A4"/>
    <w:rsid w:val="00653F6A"/>
    <w:rsid w:val="00693692"/>
    <w:rsid w:val="00795758"/>
    <w:rsid w:val="007B1AED"/>
    <w:rsid w:val="007E11D4"/>
    <w:rsid w:val="007F6FEC"/>
    <w:rsid w:val="008363AB"/>
    <w:rsid w:val="008655F9"/>
    <w:rsid w:val="008E2012"/>
    <w:rsid w:val="008F29CE"/>
    <w:rsid w:val="008F4F81"/>
    <w:rsid w:val="009525B0"/>
    <w:rsid w:val="00953994"/>
    <w:rsid w:val="00965B52"/>
    <w:rsid w:val="00974A23"/>
    <w:rsid w:val="009A2E61"/>
    <w:rsid w:val="009C1AC2"/>
    <w:rsid w:val="009D0CBA"/>
    <w:rsid w:val="00AD70FF"/>
    <w:rsid w:val="00AF40F4"/>
    <w:rsid w:val="00B0736F"/>
    <w:rsid w:val="00B40C59"/>
    <w:rsid w:val="00BA11DB"/>
    <w:rsid w:val="00BC35CF"/>
    <w:rsid w:val="00C801AF"/>
    <w:rsid w:val="00CD2021"/>
    <w:rsid w:val="00CE53A5"/>
    <w:rsid w:val="00D462C1"/>
    <w:rsid w:val="00DC40EC"/>
    <w:rsid w:val="00DC652A"/>
    <w:rsid w:val="00DF3B10"/>
    <w:rsid w:val="00E33585"/>
    <w:rsid w:val="00E4275C"/>
    <w:rsid w:val="00E5337F"/>
    <w:rsid w:val="00E5531D"/>
    <w:rsid w:val="00E55A24"/>
    <w:rsid w:val="00EA3F7F"/>
    <w:rsid w:val="00ED4A05"/>
    <w:rsid w:val="00EF2F8F"/>
    <w:rsid w:val="00F73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3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14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3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33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3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33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3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14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D20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20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1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_doc\21D&#39033;&#30446;\03&#36130;&#21153;&#36164;&#26009;\01&#36134;&#26412;\&#25253;&#21578;\18&#24180;11&#26376;&#30011;&#2227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_doc\21D&#39033;&#30446;\03&#36130;&#21153;&#36164;&#26009;\01&#36134;&#26412;\&#25253;&#21578;\18&#24180;11&#26376;&#30011;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现金流图</a:t>
            </a:r>
          </a:p>
        </c:rich>
      </c:tx>
    </c:title>
    <c:plotArea>
      <c:layout>
        <c:manualLayout>
          <c:layoutTarget val="inner"/>
          <c:xMode val="edge"/>
          <c:yMode val="edge"/>
          <c:x val="4.938271604938279E-2"/>
          <c:y val="0.26026180748950367"/>
          <c:w val="0.9396433470507547"/>
          <c:h val="0.63820919153508016"/>
        </c:manualLayout>
      </c:layout>
      <c:lineChart>
        <c:grouping val="standard"/>
        <c:ser>
          <c:idx val="0"/>
          <c:order val="0"/>
          <c:tx>
            <c:strRef>
              <c:f>现金流图!$B$2</c:f>
              <c:strCache>
                <c:ptCount val="1"/>
                <c:pt idx="0">
                  <c:v>月度收入</c:v>
                </c:pt>
              </c:strCache>
            </c:strRef>
          </c:tx>
          <c:marker>
            <c:symbol val="none"/>
          </c:marker>
          <c:dLbls>
            <c:showVal val="1"/>
          </c:dLbls>
          <c:cat>
            <c:strRef>
              <c:f>现金流图!$A$3:$A$6</c:f>
              <c:strCache>
                <c:ptCount val="4"/>
                <c:pt idx="0">
                  <c:v>8月</c:v>
                </c:pt>
                <c:pt idx="1">
                  <c:v>9月</c:v>
                </c:pt>
                <c:pt idx="2">
                  <c:v>10月</c:v>
                </c:pt>
                <c:pt idx="3">
                  <c:v>11月</c:v>
                </c:pt>
              </c:strCache>
            </c:strRef>
          </c:cat>
          <c:val>
            <c:numRef>
              <c:f>现金流图!$B$3:$B$6</c:f>
              <c:numCache>
                <c:formatCode>"¥"#,##0.00;"¥"\-#,##0.00</c:formatCode>
                <c:ptCount val="4"/>
                <c:pt idx="0">
                  <c:v>250000</c:v>
                </c:pt>
                <c:pt idx="1">
                  <c:v>300127.12</c:v>
                </c:pt>
                <c:pt idx="2">
                  <c:v>0</c:v>
                </c:pt>
                <c:pt idx="3">
                  <c:v>20139.629999999997</c:v>
                </c:pt>
              </c:numCache>
            </c:numRef>
          </c:val>
        </c:ser>
        <c:ser>
          <c:idx val="1"/>
          <c:order val="1"/>
          <c:tx>
            <c:strRef>
              <c:f>现金流图!$C$2</c:f>
              <c:strCache>
                <c:ptCount val="1"/>
                <c:pt idx="0">
                  <c:v>月度支出</c:v>
                </c:pt>
              </c:strCache>
            </c:strRef>
          </c:tx>
          <c:marker>
            <c:symbol val="none"/>
          </c:marker>
          <c:dLbls>
            <c:showVal val="1"/>
          </c:dLbls>
          <c:cat>
            <c:strRef>
              <c:f>现金流图!$A$3:$A$6</c:f>
              <c:strCache>
                <c:ptCount val="4"/>
                <c:pt idx="0">
                  <c:v>8月</c:v>
                </c:pt>
                <c:pt idx="1">
                  <c:v>9月</c:v>
                </c:pt>
                <c:pt idx="2">
                  <c:v>10月</c:v>
                </c:pt>
                <c:pt idx="3">
                  <c:v>11月</c:v>
                </c:pt>
              </c:strCache>
            </c:strRef>
          </c:cat>
          <c:val>
            <c:numRef>
              <c:f>现金流图!$C$3:$C$6</c:f>
              <c:numCache>
                <c:formatCode>"¥"#,##0.00;"¥"\-#,##0.00</c:formatCode>
                <c:ptCount val="4"/>
                <c:pt idx="0">
                  <c:v>18252</c:v>
                </c:pt>
                <c:pt idx="1">
                  <c:v>140553.26</c:v>
                </c:pt>
                <c:pt idx="2">
                  <c:v>108331.37000000001</c:v>
                </c:pt>
                <c:pt idx="3">
                  <c:v>37600.659999999996</c:v>
                </c:pt>
              </c:numCache>
            </c:numRef>
          </c:val>
        </c:ser>
        <c:ser>
          <c:idx val="2"/>
          <c:order val="2"/>
          <c:tx>
            <c:strRef>
              <c:f>现金流图!$D$2</c:f>
              <c:strCache>
                <c:ptCount val="1"/>
                <c:pt idx="0">
                  <c:v>月末节余</c:v>
                </c:pt>
              </c:strCache>
            </c:strRef>
          </c:tx>
          <c:marker>
            <c:symbol val="none"/>
          </c:marker>
          <c:dLbls>
            <c:showVal val="1"/>
          </c:dLbls>
          <c:cat>
            <c:strRef>
              <c:f>现金流图!$A$3:$A$6</c:f>
              <c:strCache>
                <c:ptCount val="4"/>
                <c:pt idx="0">
                  <c:v>8月</c:v>
                </c:pt>
                <c:pt idx="1">
                  <c:v>9月</c:v>
                </c:pt>
                <c:pt idx="2">
                  <c:v>10月</c:v>
                </c:pt>
                <c:pt idx="3">
                  <c:v>11月</c:v>
                </c:pt>
              </c:strCache>
            </c:strRef>
          </c:cat>
          <c:val>
            <c:numRef>
              <c:f>现金流图!$D$3:$D$6</c:f>
              <c:numCache>
                <c:formatCode>"¥"#,##0.00;"¥"\-#,##0.00</c:formatCode>
                <c:ptCount val="4"/>
                <c:pt idx="0">
                  <c:v>231748</c:v>
                </c:pt>
                <c:pt idx="1">
                  <c:v>391321.86</c:v>
                </c:pt>
                <c:pt idx="2">
                  <c:v>282990.49000000005</c:v>
                </c:pt>
                <c:pt idx="3">
                  <c:v>265529.45999999996</c:v>
                </c:pt>
              </c:numCache>
            </c:numRef>
          </c:val>
        </c:ser>
        <c:dLbls>
          <c:showVal val="1"/>
        </c:dLbls>
        <c:marker val="1"/>
        <c:axId val="125454592"/>
        <c:axId val="139940992"/>
      </c:lineChart>
      <c:catAx>
        <c:axId val="125454592"/>
        <c:scaling>
          <c:orientation val="minMax"/>
        </c:scaling>
        <c:axPos val="b"/>
        <c:majorTickMark val="none"/>
        <c:tickLblPos val="nextTo"/>
        <c:crossAx val="139940992"/>
        <c:crosses val="autoZero"/>
        <c:auto val="1"/>
        <c:lblAlgn val="ctr"/>
        <c:lblOffset val="100"/>
      </c:catAx>
      <c:valAx>
        <c:axId val="139940992"/>
        <c:scaling>
          <c:orientation val="minMax"/>
        </c:scaling>
        <c:delete val="1"/>
        <c:axPos val="l"/>
        <c:numFmt formatCode="&quot;¥&quot;#,##0.00;&quot;¥&quot;\-#,##0.00" sourceLinked="1"/>
        <c:majorTickMark val="none"/>
        <c:tickLblPos val="nextTo"/>
        <c:crossAx val="125454592"/>
        <c:crosses val="autoZero"/>
        <c:crossBetween val="between"/>
      </c:valAx>
    </c:plotArea>
    <c:legend>
      <c:legendPos val="t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支出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收支表!$E$9:$H$9</c:f>
              <c:strCache>
                <c:ptCount val="4"/>
                <c:pt idx="0">
                  <c:v>场地支出</c:v>
                </c:pt>
                <c:pt idx="1">
                  <c:v>长期支出</c:v>
                </c:pt>
                <c:pt idx="2">
                  <c:v>日常支出</c:v>
                </c:pt>
                <c:pt idx="3">
                  <c:v>人员支出</c:v>
                </c:pt>
              </c:strCache>
            </c:strRef>
          </c:cat>
          <c:val>
            <c:numRef>
              <c:f>收支表!$E$8:$H$8</c:f>
              <c:numCache>
                <c:formatCode>General</c:formatCode>
                <c:ptCount val="4"/>
                <c:pt idx="0">
                  <c:v>152680</c:v>
                </c:pt>
                <c:pt idx="1">
                  <c:v>110167.7</c:v>
                </c:pt>
                <c:pt idx="2">
                  <c:v>17014.07</c:v>
                </c:pt>
                <c:pt idx="3">
                  <c:v>24865.519999999993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41</Words>
  <Characters>236</Characters>
  <Application>Microsoft Office Word</Application>
  <DocSecurity>0</DocSecurity>
  <Lines>1</Lines>
  <Paragraphs>1</Paragraphs>
  <ScaleCrop>false</ScaleCrop>
  <Company>mycomputer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2018-10-31T13:27:00Z</dcterms:created>
  <dcterms:modified xsi:type="dcterms:W3CDTF">2018-11-30T07:44:00Z</dcterms:modified>
</cp:coreProperties>
</file>