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5CC5">
      <w:pPr>
        <w:rPr>
          <w:rFonts w:hint="eastAsia"/>
          <w:sz w:val="32"/>
          <w:szCs w:val="32"/>
        </w:rPr>
      </w:pPr>
      <w:r w:rsidRPr="00F55CC5">
        <w:rPr>
          <w:rFonts w:hint="eastAsia"/>
          <w:sz w:val="32"/>
          <w:szCs w:val="32"/>
        </w:rPr>
        <w:t>各特许兑换机构：</w:t>
      </w:r>
    </w:p>
    <w:p w:rsidR="00F55CC5" w:rsidRDefault="00F55CC5" w:rsidP="00F55CC5">
      <w:pPr>
        <w:ind w:firstLine="6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为进一步改进个人本外币兑换特许业务数据统计工作，现就有关事项通知如下：</w:t>
      </w:r>
    </w:p>
    <w:p w:rsidR="00F55CC5" w:rsidRDefault="00F55CC5" w:rsidP="00F55CC5">
      <w:pPr>
        <w:ind w:firstLine="6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一、为提高个人本外币兑换特许业务统计效率，总局已将《国家外汇管理局关于印发</w:t>
      </w:r>
      <w:r>
        <w:rPr>
          <w:rFonts w:asciiTheme="minorEastAsia" w:hAnsiTheme="minorEastAsia" w:hint="eastAsia"/>
          <w:sz w:val="32"/>
          <w:szCs w:val="32"/>
        </w:rPr>
        <w:t>&lt;</w:t>
      </w:r>
      <w:r>
        <w:rPr>
          <w:rFonts w:hint="eastAsia"/>
          <w:sz w:val="32"/>
          <w:szCs w:val="32"/>
        </w:rPr>
        <w:t>个人本外币兑换特许业务试点管理办法</w:t>
      </w:r>
      <w:r>
        <w:rPr>
          <w:rFonts w:asciiTheme="minorEastAsia" w:hAnsiTheme="minorEastAsia"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的通知》（汇发【</w:t>
      </w:r>
      <w:r>
        <w:rPr>
          <w:rFonts w:hint="eastAsia"/>
          <w:sz w:val="32"/>
          <w:szCs w:val="32"/>
        </w:rPr>
        <w:t>2012</w:t>
      </w:r>
      <w:r>
        <w:rPr>
          <w:rFonts w:hint="eastAsia"/>
          <w:sz w:val="32"/>
          <w:szCs w:val="32"/>
        </w:rPr>
        <w:t>】</w:t>
      </w:r>
      <w:r>
        <w:rPr>
          <w:rFonts w:hint="eastAsia"/>
          <w:sz w:val="32"/>
          <w:szCs w:val="32"/>
        </w:rPr>
        <w:t>27</w:t>
      </w:r>
      <w:r>
        <w:rPr>
          <w:rFonts w:hint="eastAsia"/>
          <w:sz w:val="32"/>
          <w:szCs w:val="32"/>
        </w:rPr>
        <w:t>号）</w:t>
      </w:r>
      <w:r w:rsidR="007F231C">
        <w:rPr>
          <w:rFonts w:hint="eastAsia"/>
          <w:sz w:val="32"/>
          <w:szCs w:val="32"/>
        </w:rPr>
        <w:t>附表</w:t>
      </w:r>
      <w:r w:rsidR="007F231C">
        <w:rPr>
          <w:rFonts w:hint="eastAsia"/>
          <w:sz w:val="32"/>
          <w:szCs w:val="32"/>
        </w:rPr>
        <w:t>1</w:t>
      </w:r>
      <w:r w:rsidR="007F231C">
        <w:rPr>
          <w:rFonts w:hint="eastAsia"/>
          <w:sz w:val="32"/>
          <w:szCs w:val="32"/>
        </w:rPr>
        <w:t>、附表</w:t>
      </w:r>
      <w:r w:rsidR="007F231C">
        <w:rPr>
          <w:rFonts w:hint="eastAsia"/>
          <w:sz w:val="32"/>
          <w:szCs w:val="32"/>
        </w:rPr>
        <w:t>2</w:t>
      </w:r>
      <w:r w:rsidR="007F231C">
        <w:rPr>
          <w:rFonts w:hint="eastAsia"/>
          <w:sz w:val="32"/>
          <w:szCs w:val="32"/>
        </w:rPr>
        <w:t>纳入了表单系统统计。</w:t>
      </w:r>
    </w:p>
    <w:p w:rsidR="007F231C" w:rsidRPr="007F231C" w:rsidRDefault="007F231C" w:rsidP="007F231C">
      <w:pPr>
        <w:ind w:firstLine="660"/>
        <w:rPr>
          <w:sz w:val="32"/>
          <w:szCs w:val="32"/>
        </w:rPr>
      </w:pPr>
      <w:r w:rsidRPr="007F231C">
        <w:rPr>
          <w:rFonts w:hint="eastAsia"/>
          <w:sz w:val="32"/>
          <w:szCs w:val="32"/>
        </w:rPr>
        <w:t>二、特许机构通过银行信息门户网站（域名访问地址是</w:t>
      </w:r>
      <w:r w:rsidRPr="007F231C">
        <w:rPr>
          <w:sz w:val="32"/>
          <w:szCs w:val="32"/>
        </w:rPr>
        <w:t>http://banksvc.safe</w:t>
      </w:r>
      <w:r w:rsidRPr="007F231C">
        <w:rPr>
          <w:rFonts w:hint="eastAsia"/>
          <w:sz w:val="32"/>
          <w:szCs w:val="32"/>
        </w:rPr>
        <w:t>，</w:t>
      </w:r>
      <w:r w:rsidRPr="007F231C">
        <w:rPr>
          <w:rFonts w:hint="eastAsia"/>
          <w:sz w:val="32"/>
          <w:szCs w:val="32"/>
        </w:rPr>
        <w:t>IP</w:t>
      </w:r>
      <w:r w:rsidRPr="007F231C">
        <w:rPr>
          <w:rFonts w:hint="eastAsia"/>
          <w:sz w:val="32"/>
          <w:szCs w:val="32"/>
        </w:rPr>
        <w:t>访问地址是</w:t>
      </w:r>
      <w:r w:rsidRPr="007F231C">
        <w:rPr>
          <w:sz w:val="32"/>
          <w:szCs w:val="32"/>
        </w:rPr>
        <w:t>http://</w:t>
      </w:r>
      <w:r w:rsidRPr="007F231C">
        <w:rPr>
          <w:rFonts w:hint="eastAsia"/>
          <w:sz w:val="32"/>
          <w:szCs w:val="32"/>
        </w:rPr>
        <w:t>100.1.95.15</w:t>
      </w:r>
      <w:r w:rsidRPr="007F231C">
        <w:rPr>
          <w:rFonts w:hint="eastAsia"/>
          <w:sz w:val="32"/>
          <w:szCs w:val="32"/>
        </w:rPr>
        <w:t>）访问系统，特许机构</w:t>
      </w:r>
      <w:r w:rsidRPr="007F231C">
        <w:rPr>
          <w:sz w:val="32"/>
          <w:szCs w:val="32"/>
        </w:rPr>
        <w:t>访问系统前，应</w:t>
      </w:r>
      <w:r w:rsidRPr="007F231C">
        <w:rPr>
          <w:rFonts w:hint="eastAsia"/>
          <w:sz w:val="32"/>
          <w:szCs w:val="32"/>
        </w:rPr>
        <w:t>先在登录首页下载《个人本外币兑换特许业务</w:t>
      </w:r>
      <w:r w:rsidRPr="007F231C">
        <w:rPr>
          <w:sz w:val="32"/>
          <w:szCs w:val="32"/>
        </w:rPr>
        <w:t>系统用户使用手册</w:t>
      </w:r>
      <w:r w:rsidRPr="007F231C">
        <w:rPr>
          <w:rFonts w:hint="eastAsia"/>
          <w:sz w:val="32"/>
          <w:szCs w:val="32"/>
        </w:rPr>
        <w:t>》，并按照手册要求</w:t>
      </w:r>
      <w:r w:rsidRPr="007F231C">
        <w:rPr>
          <w:sz w:val="32"/>
          <w:szCs w:val="32"/>
        </w:rPr>
        <w:t>进行相关设置</w:t>
      </w:r>
      <w:r w:rsidRPr="007F231C">
        <w:rPr>
          <w:rFonts w:hint="eastAsia"/>
          <w:sz w:val="32"/>
          <w:szCs w:val="32"/>
        </w:rPr>
        <w:t>。系统</w:t>
      </w:r>
      <w:r w:rsidRPr="007F231C">
        <w:rPr>
          <w:rFonts w:hint="eastAsia"/>
          <w:sz w:val="32"/>
          <w:szCs w:val="32"/>
        </w:rPr>
        <w:t>ba:</w:t>
      </w:r>
      <w:r w:rsidRPr="007F231C">
        <w:rPr>
          <w:sz w:val="32"/>
          <w:szCs w:val="32"/>
        </w:rPr>
        <w:t xml:space="preserve"> ibwbba</w:t>
      </w:r>
      <w:r w:rsidRPr="007F231C">
        <w:rPr>
          <w:rFonts w:hint="eastAsia"/>
          <w:sz w:val="32"/>
          <w:szCs w:val="32"/>
        </w:rPr>
        <w:t>,</w:t>
      </w:r>
      <w:r w:rsidRPr="007F231C">
        <w:rPr>
          <w:rFonts w:hint="eastAsia"/>
          <w:sz w:val="32"/>
          <w:szCs w:val="32"/>
        </w:rPr>
        <w:t>密码：</w:t>
      </w:r>
      <w:r w:rsidRPr="007F231C">
        <w:rPr>
          <w:sz w:val="32"/>
          <w:szCs w:val="32"/>
        </w:rPr>
        <w:t>Ibwb1234</w:t>
      </w:r>
      <w:r w:rsidRPr="007F231C">
        <w:rPr>
          <w:rFonts w:hint="eastAsia"/>
          <w:sz w:val="32"/>
          <w:szCs w:val="32"/>
        </w:rPr>
        <w:t>。</w:t>
      </w:r>
    </w:p>
    <w:p w:rsidR="007F231C" w:rsidRPr="007F231C" w:rsidRDefault="007F231C" w:rsidP="007F231C">
      <w:pPr>
        <w:ind w:firstLine="660"/>
        <w:rPr>
          <w:sz w:val="32"/>
          <w:szCs w:val="32"/>
        </w:rPr>
      </w:pPr>
      <w:r w:rsidRPr="007F231C">
        <w:rPr>
          <w:rFonts w:hint="eastAsia"/>
          <w:sz w:val="32"/>
          <w:szCs w:val="32"/>
        </w:rPr>
        <w:t>三、为保证</w:t>
      </w:r>
      <w:r w:rsidRPr="007F231C">
        <w:rPr>
          <w:rFonts w:hint="eastAsia"/>
          <w:sz w:val="32"/>
          <w:szCs w:val="32"/>
        </w:rPr>
        <w:t>2014</w:t>
      </w:r>
      <w:r w:rsidRPr="007F231C">
        <w:rPr>
          <w:rFonts w:hint="eastAsia"/>
          <w:sz w:val="32"/>
          <w:szCs w:val="32"/>
        </w:rPr>
        <w:t>年数据的完整性，特许机构</w:t>
      </w:r>
      <w:r>
        <w:rPr>
          <w:rFonts w:hint="eastAsia"/>
          <w:sz w:val="32"/>
          <w:szCs w:val="32"/>
        </w:rPr>
        <w:t>应</w:t>
      </w:r>
      <w:r w:rsidRPr="007F231C">
        <w:rPr>
          <w:rFonts w:hint="eastAsia"/>
          <w:sz w:val="32"/>
          <w:szCs w:val="32"/>
        </w:rPr>
        <w:t>将</w:t>
      </w:r>
      <w:r w:rsidRPr="007F231C">
        <w:rPr>
          <w:rFonts w:hint="eastAsia"/>
          <w:sz w:val="32"/>
          <w:szCs w:val="32"/>
        </w:rPr>
        <w:t>2014</w:t>
      </w:r>
      <w:r w:rsidRPr="007F231C">
        <w:rPr>
          <w:rFonts w:hint="eastAsia"/>
          <w:sz w:val="32"/>
          <w:szCs w:val="32"/>
        </w:rPr>
        <w:t>年以来的报表纳入表单系统。</w:t>
      </w:r>
      <w:r w:rsidR="009F485F">
        <w:rPr>
          <w:rFonts w:hint="eastAsia"/>
          <w:sz w:val="32"/>
          <w:szCs w:val="32"/>
        </w:rPr>
        <w:t>2014</w:t>
      </w:r>
      <w:r w:rsidR="009F485F">
        <w:rPr>
          <w:rFonts w:hint="eastAsia"/>
          <w:sz w:val="32"/>
          <w:szCs w:val="32"/>
        </w:rPr>
        <w:t>年</w:t>
      </w:r>
      <w:r w:rsidR="009F485F">
        <w:rPr>
          <w:rFonts w:hint="eastAsia"/>
          <w:sz w:val="32"/>
          <w:szCs w:val="32"/>
        </w:rPr>
        <w:t>4</w:t>
      </w:r>
      <w:r w:rsidR="009F485F">
        <w:rPr>
          <w:rFonts w:hint="eastAsia"/>
          <w:sz w:val="32"/>
          <w:szCs w:val="32"/>
        </w:rPr>
        <w:t>月份数据通过表单系统报送，并于</w:t>
      </w:r>
      <w:r w:rsidR="009F485F">
        <w:rPr>
          <w:rFonts w:hint="eastAsia"/>
          <w:sz w:val="32"/>
          <w:szCs w:val="32"/>
        </w:rPr>
        <w:t>4</w:t>
      </w:r>
      <w:r w:rsidR="009F485F">
        <w:rPr>
          <w:rFonts w:hint="eastAsia"/>
          <w:sz w:val="32"/>
          <w:szCs w:val="32"/>
        </w:rPr>
        <w:t>月底前补充将</w:t>
      </w:r>
      <w:r w:rsidR="009F485F">
        <w:rPr>
          <w:rFonts w:hint="eastAsia"/>
          <w:sz w:val="32"/>
          <w:szCs w:val="32"/>
        </w:rPr>
        <w:t>1</w:t>
      </w:r>
      <w:r w:rsidR="009F485F">
        <w:rPr>
          <w:rFonts w:hint="eastAsia"/>
          <w:sz w:val="32"/>
          <w:szCs w:val="32"/>
        </w:rPr>
        <w:t>、</w:t>
      </w:r>
      <w:r w:rsidR="009F485F">
        <w:rPr>
          <w:rFonts w:hint="eastAsia"/>
          <w:sz w:val="32"/>
          <w:szCs w:val="32"/>
        </w:rPr>
        <w:t>2</w:t>
      </w:r>
      <w:r w:rsidR="009F485F">
        <w:rPr>
          <w:rFonts w:hint="eastAsia"/>
          <w:sz w:val="32"/>
          <w:szCs w:val="32"/>
        </w:rPr>
        <w:t>、</w:t>
      </w:r>
      <w:r w:rsidR="009F485F">
        <w:rPr>
          <w:rFonts w:hint="eastAsia"/>
          <w:sz w:val="32"/>
          <w:szCs w:val="32"/>
        </w:rPr>
        <w:t>3</w:t>
      </w:r>
      <w:r w:rsidR="009F485F">
        <w:rPr>
          <w:rFonts w:hint="eastAsia"/>
          <w:sz w:val="32"/>
          <w:szCs w:val="32"/>
        </w:rPr>
        <w:t>月报表补录入表单系统。</w:t>
      </w:r>
    </w:p>
    <w:p w:rsidR="007F231C" w:rsidRDefault="007F231C" w:rsidP="007F231C">
      <w:pPr>
        <w:ind w:firstLine="660"/>
        <w:rPr>
          <w:rFonts w:hint="eastAsia"/>
          <w:sz w:val="32"/>
          <w:szCs w:val="32"/>
        </w:rPr>
      </w:pPr>
      <w:r w:rsidRPr="007F231C">
        <w:rPr>
          <w:sz w:val="32"/>
          <w:szCs w:val="32"/>
        </w:rPr>
        <w:t>执行中如遇问题，请及时与国家外汇管理局联系。</w:t>
      </w:r>
    </w:p>
    <w:p w:rsidR="00D33883" w:rsidRPr="007F231C" w:rsidRDefault="00D33883" w:rsidP="007F231C">
      <w:pPr>
        <w:ind w:firstLine="660"/>
        <w:rPr>
          <w:sz w:val="32"/>
          <w:szCs w:val="32"/>
        </w:rPr>
      </w:pPr>
    </w:p>
    <w:p w:rsidR="007F231C" w:rsidRPr="007F231C" w:rsidRDefault="007F231C" w:rsidP="007F231C">
      <w:pPr>
        <w:ind w:firstLine="660"/>
        <w:rPr>
          <w:sz w:val="32"/>
          <w:szCs w:val="32"/>
        </w:rPr>
      </w:pPr>
      <w:r w:rsidRPr="007F231C">
        <w:rPr>
          <w:sz w:val="32"/>
          <w:szCs w:val="32"/>
        </w:rPr>
        <w:t>业务支持联系电话：</w:t>
      </w:r>
      <w:r w:rsidRPr="007F231C">
        <w:rPr>
          <w:sz w:val="32"/>
          <w:szCs w:val="32"/>
        </w:rPr>
        <w:t>010-6840</w:t>
      </w:r>
      <w:r w:rsidRPr="007F231C">
        <w:rPr>
          <w:rFonts w:hint="eastAsia"/>
          <w:sz w:val="32"/>
          <w:szCs w:val="32"/>
        </w:rPr>
        <w:t>2521</w:t>
      </w:r>
      <w:r w:rsidRPr="007F231C">
        <w:rPr>
          <w:sz w:val="32"/>
          <w:szCs w:val="32"/>
        </w:rPr>
        <w:t>；</w:t>
      </w:r>
    </w:p>
    <w:p w:rsidR="007F231C" w:rsidRPr="007F231C" w:rsidRDefault="007F231C" w:rsidP="007F231C">
      <w:pPr>
        <w:ind w:firstLine="660"/>
        <w:rPr>
          <w:sz w:val="32"/>
          <w:szCs w:val="32"/>
        </w:rPr>
      </w:pPr>
      <w:r w:rsidRPr="007F231C">
        <w:rPr>
          <w:sz w:val="32"/>
          <w:szCs w:val="32"/>
        </w:rPr>
        <w:t>技术支持联系电话：</w:t>
      </w:r>
      <w:r w:rsidRPr="007F231C">
        <w:rPr>
          <w:sz w:val="32"/>
          <w:szCs w:val="32"/>
        </w:rPr>
        <w:t>010-6840</w:t>
      </w:r>
      <w:r w:rsidRPr="007F231C">
        <w:rPr>
          <w:rFonts w:hint="eastAsia"/>
          <w:sz w:val="32"/>
          <w:szCs w:val="32"/>
        </w:rPr>
        <w:t>2102</w:t>
      </w:r>
      <w:r w:rsidRPr="007F231C">
        <w:rPr>
          <w:sz w:val="32"/>
          <w:szCs w:val="32"/>
        </w:rPr>
        <w:t>。</w:t>
      </w:r>
    </w:p>
    <w:p w:rsidR="007F231C" w:rsidRPr="0020518C" w:rsidRDefault="007F231C" w:rsidP="007F231C"/>
    <w:p w:rsidR="007F231C" w:rsidRPr="007F231C" w:rsidRDefault="007F231C" w:rsidP="00F55CC5">
      <w:pPr>
        <w:ind w:firstLine="660"/>
        <w:rPr>
          <w:sz w:val="32"/>
          <w:szCs w:val="32"/>
        </w:rPr>
      </w:pPr>
    </w:p>
    <w:sectPr w:rsidR="007F231C" w:rsidRPr="007F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B22" w:rsidRDefault="00BA7B22" w:rsidP="00F55CC5">
      <w:r>
        <w:separator/>
      </w:r>
    </w:p>
  </w:endnote>
  <w:endnote w:type="continuationSeparator" w:id="1">
    <w:p w:rsidR="00BA7B22" w:rsidRDefault="00BA7B22" w:rsidP="00F55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B22" w:rsidRDefault="00BA7B22" w:rsidP="00F55CC5">
      <w:r>
        <w:separator/>
      </w:r>
    </w:p>
  </w:footnote>
  <w:footnote w:type="continuationSeparator" w:id="1">
    <w:p w:rsidR="00BA7B22" w:rsidRDefault="00BA7B22" w:rsidP="00F55C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CC5"/>
    <w:rsid w:val="003F45C7"/>
    <w:rsid w:val="007F231C"/>
    <w:rsid w:val="009F485F"/>
    <w:rsid w:val="00BA7B22"/>
    <w:rsid w:val="00D33883"/>
    <w:rsid w:val="00F5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5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5C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5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5C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45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45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杜牧雯</dc:creator>
  <cp:keywords/>
  <dc:description/>
  <cp:lastModifiedBy>杜牧雯</cp:lastModifiedBy>
  <cp:revision>5</cp:revision>
  <cp:lastPrinted>2014-03-28T02:10:00Z</cp:lastPrinted>
  <dcterms:created xsi:type="dcterms:W3CDTF">2014-03-28T01:54:00Z</dcterms:created>
  <dcterms:modified xsi:type="dcterms:W3CDTF">2014-03-28T02:30:00Z</dcterms:modified>
</cp:coreProperties>
</file>