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1101"/>
        <w:gridCol w:w="1417"/>
        <w:gridCol w:w="2835"/>
        <w:gridCol w:w="2977"/>
      </w:tblGrid>
      <w:tr w:rsidR="00297761" w:rsidRPr="00297761" w:rsidTr="00297761">
        <w:trPr>
          <w:trHeight w:val="416"/>
          <w:jc w:val="center"/>
        </w:trPr>
        <w:tc>
          <w:tcPr>
            <w:tcW w:w="1101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类别</w:t>
            </w: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国内流量</w:t>
            </w:r>
          </w:p>
        </w:tc>
        <w:tc>
          <w:tcPr>
            <w:tcW w:w="2835" w:type="dxa"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定向流量基本费（元</w:t>
            </w:r>
            <w:r w:rsidRPr="00297761">
              <w:rPr>
                <w:rFonts w:hint="eastAsia"/>
                <w:szCs w:val="21"/>
              </w:rPr>
              <w:t>/</w:t>
            </w:r>
            <w:r w:rsidRPr="00297761">
              <w:rPr>
                <w:rFonts w:hint="eastAsia"/>
                <w:szCs w:val="21"/>
              </w:rPr>
              <w:t>终端）</w:t>
            </w:r>
          </w:p>
        </w:tc>
        <w:tc>
          <w:tcPr>
            <w:tcW w:w="2977" w:type="dxa"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非定向流量基本费（元</w:t>
            </w:r>
            <w:r w:rsidRPr="00297761">
              <w:rPr>
                <w:rFonts w:hint="eastAsia"/>
                <w:szCs w:val="21"/>
              </w:rPr>
              <w:t>/</w:t>
            </w:r>
            <w:r w:rsidRPr="00297761">
              <w:rPr>
                <w:rFonts w:hint="eastAsia"/>
                <w:szCs w:val="21"/>
              </w:rPr>
              <w:t>终端）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 w:val="restart"/>
            <w:hideMark/>
          </w:tcPr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rPr>
                <w:rFonts w:hint="eastAsia"/>
                <w:szCs w:val="21"/>
              </w:rPr>
            </w:pPr>
          </w:p>
          <w:p w:rsidR="00297761" w:rsidRPr="00297761" w:rsidRDefault="00297761" w:rsidP="00297761">
            <w:pPr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月流量包</w:t>
            </w: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8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9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16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18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24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32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80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135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8GB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135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175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150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15GB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210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270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270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350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390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600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780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1100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1400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3000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3800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500GB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4500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5500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 w:val="restart"/>
            <w:hideMark/>
          </w:tcPr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季流量包</w:t>
            </w: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80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160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 w:val="restart"/>
            <w:hideMark/>
          </w:tcPr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半年流量包</w:t>
            </w: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35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90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155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180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230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270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350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24GB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450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 w:val="restart"/>
            <w:hideMark/>
          </w:tcPr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年流量包</w:t>
            </w: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90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115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155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150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195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210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275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360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460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24GB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540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700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36GB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720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930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48GB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900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1170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 w:val="restart"/>
            <w:hideMark/>
          </w:tcPr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Default="00297761" w:rsidP="00297761">
            <w:pPr>
              <w:jc w:val="center"/>
              <w:rPr>
                <w:rFonts w:hint="eastAsia"/>
                <w:szCs w:val="21"/>
              </w:rPr>
            </w:pPr>
          </w:p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加餐包</w:t>
            </w: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8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12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16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500MB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18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24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1GB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40</w:t>
            </w:r>
          </w:p>
        </w:tc>
      </w:tr>
      <w:tr w:rsidR="00297761" w:rsidRPr="00297761" w:rsidTr="00297761">
        <w:trPr>
          <w:trHeight w:val="405"/>
          <w:jc w:val="center"/>
        </w:trPr>
        <w:tc>
          <w:tcPr>
            <w:tcW w:w="1101" w:type="dxa"/>
            <w:vMerge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3GB</w:t>
            </w:r>
          </w:p>
        </w:tc>
        <w:tc>
          <w:tcPr>
            <w:tcW w:w="2835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60</w:t>
            </w:r>
          </w:p>
        </w:tc>
        <w:tc>
          <w:tcPr>
            <w:tcW w:w="2977" w:type="dxa"/>
            <w:noWrap/>
            <w:hideMark/>
          </w:tcPr>
          <w:p w:rsidR="00297761" w:rsidRPr="00297761" w:rsidRDefault="00297761" w:rsidP="00297761">
            <w:pPr>
              <w:jc w:val="center"/>
              <w:rPr>
                <w:szCs w:val="21"/>
              </w:rPr>
            </w:pPr>
            <w:r w:rsidRPr="00297761">
              <w:rPr>
                <w:rFonts w:hint="eastAsia"/>
                <w:szCs w:val="21"/>
              </w:rPr>
              <w:t>80</w:t>
            </w:r>
          </w:p>
        </w:tc>
      </w:tr>
    </w:tbl>
    <w:tbl>
      <w:tblPr>
        <w:tblW w:w="22544" w:type="dxa"/>
        <w:tblInd w:w="108" w:type="dxa"/>
        <w:tblLook w:val="04A0"/>
      </w:tblPr>
      <w:tblGrid>
        <w:gridCol w:w="3416"/>
        <w:gridCol w:w="1576"/>
        <w:gridCol w:w="2056"/>
        <w:gridCol w:w="2756"/>
        <w:gridCol w:w="287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CD598F" w:rsidRPr="00CD598F" w:rsidTr="00CD598F">
        <w:trPr>
          <w:trHeight w:val="405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198" w:rsidRDefault="00981198" w:rsidP="00CD598F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流量包模式</w:t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</w:p>
          <w:p w:rsidR="00CD598F" w:rsidRPr="00CD598F" w:rsidRDefault="00CD598F" w:rsidP="00CD598F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收费说明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a.国内流量（含定向流量和非定向流量）超出资费：按0.00015元/KB收费；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b.流量仅限中国大陆境内使用，不区分4G、3G、2G，不含WLAN(Wi-Fi)上网；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c.定向流量包和非定向流量包可以同时订购，优先扣减定向流量；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Default="00CD598F" w:rsidP="00CD598F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d.月流量包同档可重复订购，不同档位可叠加订购；季、半年、年流量包</w:t>
            </w:r>
          </w:p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不可重复订购和叠加订购；月流量包与季、半年、年流量包不可叠加订购；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Default="00CD598F" w:rsidP="00CD598F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e.月、季、半年、年流量包，新老客户订购立即生效；月流量包退订次月生效；季、半年、年流量</w:t>
            </w:r>
          </w:p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退订次收费周期（季、半年、年流量包收费周期分别为3个自然月、6个自然月、12个自然月）生效；</w:t>
            </w:r>
          </w:p>
        </w:tc>
      </w:tr>
      <w:tr w:rsidR="00CD598F" w:rsidRPr="00CD598F" w:rsidTr="00CD598F">
        <w:trPr>
          <w:trHeight w:val="390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f.过渡期资费：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Default="00CD598F" w:rsidP="00CD598F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月流量包：订购当月流量包基本费按日计扣（入网当日到月底），费用四舍五入到分；</w:t>
            </w:r>
          </w:p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包内流量按天折算，向上取整。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Default="00CD598F" w:rsidP="00CD598F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季、半年、年流量包: 订购当月即按包内流量收费，季、半年、年流量包有效期分别为订购次月起</w:t>
            </w:r>
          </w:p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3个自然月、6个自然月、12个自然月。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kern w:val="0"/>
                <w:szCs w:val="21"/>
              </w:rPr>
              <w:t>g.加餐包是自然月内有效的一次性流量包，满足客户临时性流量需求。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Default="00CD598F" w:rsidP="00CD598F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·月流量包与季度、半年、年流量包均可多次叠加订购多档加餐包；</w:t>
            </w:r>
          </w:p>
          <w:p w:rsidR="00CD598F" w:rsidRPr="00CD598F" w:rsidRDefault="00CD598F" w:rsidP="00CD598F">
            <w:pPr>
              <w:widowControl/>
              <w:ind w:firstLineChars="100" w:firstLine="210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亦可不订购月、季度、半年、年流量包，直接在0元套餐上叠加加餐包作为流量包模块。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·加餐包新老客户订购立即生效，包含流量在订购当月（自然月）内有效；</w:t>
            </w:r>
          </w:p>
        </w:tc>
      </w:tr>
      <w:tr w:rsidR="00CD598F" w:rsidRPr="00CD598F" w:rsidTr="00CD598F">
        <w:trPr>
          <w:trHeight w:val="390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598F" w:rsidRPr="00CD598F" w:rsidRDefault="00CD598F" w:rsidP="00CD59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D598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·加餐包流量优先于月、季、半年、年流量包扣减。</w:t>
            </w:r>
          </w:p>
        </w:tc>
      </w:tr>
    </w:tbl>
    <w:p w:rsidR="00297761" w:rsidRDefault="00297761">
      <w:pPr>
        <w:rPr>
          <w:rFonts w:hint="eastAsia"/>
        </w:rPr>
      </w:pPr>
    </w:p>
    <w:p w:rsidR="008E066B" w:rsidRDefault="008E066B">
      <w:pPr>
        <w:rPr>
          <w:rFonts w:hint="eastAsia"/>
        </w:rPr>
      </w:pPr>
    </w:p>
    <w:p w:rsidR="008E066B" w:rsidRDefault="008E066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101"/>
        <w:gridCol w:w="1275"/>
        <w:gridCol w:w="1843"/>
        <w:gridCol w:w="2126"/>
        <w:gridCol w:w="1985"/>
      </w:tblGrid>
      <w:tr w:rsidR="008E066B" w:rsidRPr="008E066B" w:rsidTr="006040A6">
        <w:trPr>
          <w:trHeight w:val="699"/>
        </w:trPr>
        <w:tc>
          <w:tcPr>
            <w:tcW w:w="1101" w:type="dxa"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终端数</w:t>
            </w:r>
            <w:r w:rsidRPr="008E066B">
              <w:rPr>
                <w:rFonts w:hint="eastAsia"/>
              </w:rPr>
              <w:t>(</w:t>
            </w:r>
            <w:r w:rsidRPr="008E066B">
              <w:rPr>
                <w:rFonts w:hint="eastAsia"/>
              </w:rPr>
              <w:t>户</w:t>
            </w:r>
            <w:r w:rsidRPr="008E066B">
              <w:rPr>
                <w:rFonts w:hint="eastAsia"/>
              </w:rPr>
              <w:t>)</w:t>
            </w:r>
          </w:p>
        </w:tc>
        <w:tc>
          <w:tcPr>
            <w:tcW w:w="1275" w:type="dxa"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月功能费（元）</w:t>
            </w:r>
          </w:p>
        </w:tc>
        <w:tc>
          <w:tcPr>
            <w:tcW w:w="1843" w:type="dxa"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共享池国内流量</w:t>
            </w:r>
          </w:p>
        </w:tc>
        <w:tc>
          <w:tcPr>
            <w:tcW w:w="2126" w:type="dxa"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定向流量月基本费（元）</w:t>
            </w:r>
          </w:p>
        </w:tc>
        <w:tc>
          <w:tcPr>
            <w:tcW w:w="1985" w:type="dxa"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非定向流量月基本费（元）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 w:val="restart"/>
            <w:hideMark/>
          </w:tcPr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8E066B" w:rsidRPr="008E066B" w:rsidRDefault="008E066B" w:rsidP="006040A6">
            <w:pPr>
              <w:jc w:val="center"/>
            </w:pPr>
            <w:r w:rsidRPr="008E066B">
              <w:rPr>
                <w:rFonts w:hint="eastAsia"/>
              </w:rPr>
              <w:t>N</w:t>
            </w:r>
          </w:p>
        </w:tc>
        <w:tc>
          <w:tcPr>
            <w:tcW w:w="1275" w:type="dxa"/>
            <w:vMerge w:val="restart"/>
            <w:hideMark/>
          </w:tcPr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6040A6" w:rsidRDefault="006040A6" w:rsidP="008E066B">
            <w:pPr>
              <w:rPr>
                <w:rFonts w:hint="eastAsia"/>
              </w:rPr>
            </w:pPr>
          </w:p>
          <w:p w:rsidR="008E066B" w:rsidRPr="008E066B" w:rsidRDefault="008E066B" w:rsidP="006040A6">
            <w:pPr>
              <w:jc w:val="center"/>
            </w:pPr>
            <w:r w:rsidRPr="008E066B">
              <w:rPr>
                <w:rFonts w:hint="eastAsia"/>
              </w:rPr>
              <w:t>3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4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50MB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4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70MB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6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100MB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6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8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200MB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9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12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300MB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12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16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500MB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18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24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700MB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32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40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45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60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60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80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4GB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75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100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6GB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105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135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8GB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135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175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10GB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150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200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15GB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210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270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20GB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270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350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30GB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390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500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  <w:tr w:rsidR="008E066B" w:rsidRPr="008E066B" w:rsidTr="008E066B">
        <w:trPr>
          <w:trHeight w:val="405"/>
        </w:trPr>
        <w:tc>
          <w:tcPr>
            <w:tcW w:w="1101" w:type="dxa"/>
            <w:vMerge/>
            <w:hideMark/>
          </w:tcPr>
          <w:p w:rsidR="008E066B" w:rsidRPr="008E066B" w:rsidRDefault="008E066B"/>
        </w:tc>
        <w:tc>
          <w:tcPr>
            <w:tcW w:w="1275" w:type="dxa"/>
            <w:vMerge/>
            <w:hideMark/>
          </w:tcPr>
          <w:p w:rsidR="008E066B" w:rsidRPr="008E066B" w:rsidRDefault="008E066B"/>
        </w:tc>
        <w:tc>
          <w:tcPr>
            <w:tcW w:w="1843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50GB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2126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600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  <w:tc>
          <w:tcPr>
            <w:tcW w:w="1985" w:type="dxa"/>
            <w:noWrap/>
            <w:hideMark/>
          </w:tcPr>
          <w:p w:rsidR="008E066B" w:rsidRPr="008E066B" w:rsidRDefault="008E066B" w:rsidP="008E066B">
            <w:r w:rsidRPr="008E066B">
              <w:rPr>
                <w:rFonts w:hint="eastAsia"/>
              </w:rPr>
              <w:t>780</w:t>
            </w:r>
            <w:r w:rsidRPr="008E066B">
              <w:rPr>
                <w:rFonts w:hint="eastAsia"/>
              </w:rPr>
              <w:t>×</w:t>
            </w:r>
            <w:r w:rsidRPr="008E066B">
              <w:rPr>
                <w:rFonts w:hint="eastAsia"/>
              </w:rPr>
              <w:t>N</w:t>
            </w:r>
          </w:p>
        </w:tc>
      </w:tr>
    </w:tbl>
    <w:tbl>
      <w:tblPr>
        <w:tblW w:w="22544" w:type="dxa"/>
        <w:tblInd w:w="108" w:type="dxa"/>
        <w:tblLook w:val="04A0"/>
      </w:tblPr>
      <w:tblGrid>
        <w:gridCol w:w="3416"/>
        <w:gridCol w:w="1576"/>
        <w:gridCol w:w="2056"/>
        <w:gridCol w:w="2756"/>
        <w:gridCol w:w="287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6040A6" w:rsidRPr="006040A6" w:rsidTr="006040A6">
        <w:trPr>
          <w:trHeight w:val="405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1198" w:rsidRDefault="00981198" w:rsidP="00981198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流量池模式可进行多终端共享的模式</w:t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可分为流量包流量池、无流量包流量池。</w:t>
            </w:r>
          </w:p>
          <w:p w:rsidR="00981198" w:rsidRPr="006040A6" w:rsidRDefault="00981198" w:rsidP="00981198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流量池模式</w:t>
            </w:r>
            <w:r w:rsidR="006040A6" w:rsidRPr="006040A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收费说明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  <w:r w:rsidRPr="0098119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ab/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040A6" w:rsidRPr="006040A6" w:rsidTr="006040A6">
        <w:trPr>
          <w:trHeight w:val="1125"/>
        </w:trPr>
        <w:tc>
          <w:tcPr>
            <w:tcW w:w="225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40A6" w:rsidRPr="006040A6" w:rsidRDefault="006040A6" w:rsidP="006040A6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6040A6">
              <w:rPr>
                <w:rFonts w:asciiTheme="minorEastAsia" w:hAnsiTheme="minorEastAsia" w:cs="宋体" w:hint="eastAsia"/>
                <w:kern w:val="0"/>
                <w:szCs w:val="21"/>
              </w:rPr>
              <w:t>国内流量（含定向流量和非定向流量）超出资费：按照0.00015元/KB收费；流量仅限中国大陆境内使用，</w:t>
            </w:r>
          </w:p>
          <w:p w:rsidR="006040A6" w:rsidRPr="006040A6" w:rsidRDefault="006040A6" w:rsidP="006040A6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6040A6">
              <w:rPr>
                <w:rFonts w:asciiTheme="minorEastAsia" w:hAnsiTheme="minorEastAsia" w:cs="宋体" w:hint="eastAsia"/>
                <w:kern w:val="0"/>
                <w:szCs w:val="21"/>
              </w:rPr>
              <w:t>不区分4G、3G、2G，不含WLAN(Wi-Fi)上网；客户数N必须大于等于50户；功能费按照3元/户收取，</w:t>
            </w:r>
          </w:p>
          <w:p w:rsidR="006040A6" w:rsidRPr="006040A6" w:rsidRDefault="006040A6" w:rsidP="006040A6">
            <w:pPr>
              <w:widowControl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6040A6">
              <w:rPr>
                <w:rFonts w:asciiTheme="minorEastAsia" w:hAnsiTheme="minorEastAsia" w:cs="宋体" w:hint="eastAsia"/>
                <w:kern w:val="0"/>
                <w:szCs w:val="21"/>
              </w:rPr>
              <w:t>一次性入网共享客户数N大于等于500户时，功能费可适当优惠或减免；流量池客户进入立即生效，</w:t>
            </w:r>
          </w:p>
          <w:p w:rsidR="006040A6" w:rsidRPr="006040A6" w:rsidRDefault="006040A6" w:rsidP="006040A6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040A6">
              <w:rPr>
                <w:rFonts w:asciiTheme="minorEastAsia" w:hAnsiTheme="minorEastAsia" w:cs="宋体" w:hint="eastAsia"/>
                <w:kern w:val="0"/>
                <w:szCs w:val="21"/>
              </w:rPr>
              <w:t>退出次月生效。</w:t>
            </w:r>
          </w:p>
        </w:tc>
      </w:tr>
    </w:tbl>
    <w:p w:rsidR="008E066B" w:rsidRPr="006040A6" w:rsidRDefault="008E066B">
      <w:pPr>
        <w:rPr>
          <w:szCs w:val="21"/>
        </w:rPr>
      </w:pPr>
    </w:p>
    <w:sectPr w:rsidR="008E066B" w:rsidRPr="006040A6" w:rsidSect="0029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92A" w:rsidRDefault="0000792A" w:rsidP="00297761">
      <w:r>
        <w:separator/>
      </w:r>
    </w:p>
  </w:endnote>
  <w:endnote w:type="continuationSeparator" w:id="0">
    <w:p w:rsidR="0000792A" w:rsidRDefault="0000792A" w:rsidP="0029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92A" w:rsidRDefault="0000792A" w:rsidP="00297761">
      <w:r>
        <w:separator/>
      </w:r>
    </w:p>
  </w:footnote>
  <w:footnote w:type="continuationSeparator" w:id="0">
    <w:p w:rsidR="0000792A" w:rsidRDefault="0000792A" w:rsidP="00297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761"/>
    <w:rsid w:val="0000792A"/>
    <w:rsid w:val="00297761"/>
    <w:rsid w:val="006040A6"/>
    <w:rsid w:val="008E066B"/>
    <w:rsid w:val="00981198"/>
    <w:rsid w:val="00B362A4"/>
    <w:rsid w:val="00CD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A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761"/>
    <w:rPr>
      <w:sz w:val="18"/>
      <w:szCs w:val="18"/>
    </w:rPr>
  </w:style>
  <w:style w:type="table" w:styleId="a5">
    <w:name w:val="Table Grid"/>
    <w:basedOn w:val="a1"/>
    <w:uiPriority w:val="59"/>
    <w:rsid w:val="0029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D59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59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308</Words>
  <Characters>1757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陈亮</dc:creator>
  <cp:keywords/>
  <dc:description/>
  <cp:lastModifiedBy>陈亮</cp:lastModifiedBy>
  <cp:revision>5</cp:revision>
  <dcterms:created xsi:type="dcterms:W3CDTF">2017-10-16T02:08:00Z</dcterms:created>
  <dcterms:modified xsi:type="dcterms:W3CDTF">2017-10-16T02:28:00Z</dcterms:modified>
</cp:coreProperties>
</file>