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>
          <w:rFonts w:ascii="Arial" w:cs="Arial" w:eastAsia="Arial" w:hAnsi="Arial"/>
        </w:rPr>
      </w:pPr>
      <w:bookmarkStart w:colFirst="0" w:colLast="0" w:name="_heading=h.otd9c99bbcyz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Õismäe linnaosa korteriturg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Õismäe püsib 2025. aastal jätkuvalt atraktiivne nii noorte perede kui ka kinnisvarainvestorite jaoks. Õismäe on tuntud oma suuremate kortermajade ja laialdaste rohealade poolest.</w:t>
        <w:br w:type="textWrapping"/>
        <w:t xml:space="preserve">Piirkond on peresõbralik ning hästi ühendatud ühistranspordiga.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VQL2tc/JSNkHp9qZTsSZQDgRCQ==">CgMxLjAyDmgub3RkOWM5OWJiY3l6OAByITF1OG1qQ2hlaUJGZXhHR25jM29yaGQwXzdraElrSnZoRg==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