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after="200" w:before="0" w:lineRule="auto"/>
        <w:rPr>
          <w:rFonts w:ascii="Arial" w:cs="Arial" w:eastAsia="Arial" w:hAnsi="Arial"/>
          <w:color w:val="000000"/>
        </w:rPr>
      </w:pPr>
      <w:bookmarkStart w:colFirst="0" w:colLast="0" w:name="_heading=h.w848ip2dgsiq" w:id="0"/>
      <w:bookmarkEnd w:id="0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Makromajanduslik taust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Eesti majandus on taastumas pärast varasemaid raskusi. Prognooside kohaselt kasvab SKP 2025. aastal 3%.</w:t>
        <w:br w:type="textWrapping"/>
        <w:t xml:space="preserve">Tarbijate kindlustunne on paranenud, kuid intressimäärade tase jääb kõrgeks.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ErEMCaBqSmgPT2zQFsYGq87GMA==">CgMxLjAyDmgudzg0OGlwMmRnc2lxOAByITF4Z0RFR0NYV19yck90Ql9fYnk3YktwN0xrdjdmam9MVg==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