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ПОЛОЖЕНИЕ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 проведении VII Открытого фестиваля-конкурса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белорусской музыки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ДЗЯРЖЫНСКI КУФЭРАК – 2022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рамках проекта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Белорусское музыкальное наследие детям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Автор проекта кандидат искусствоведения, доцент О.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Политанская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положения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Настоящее Положение разработано на основании Кодекса Республики Беларусь о культуре и определяет порядок организации и проведения VII Открытого фестиваля-конкурса белорусской музыки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ДЗЯРЖЫНСКI КУФЭРАК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фестиваль-конкурс).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фестиваля-конкурса является сохранение и развитие национальных традиций духовно-нравственного воспитания детей и юношества средствами белорусской музыкальной культуры, раскрытие и реализация музыкально-исполнительских способностей подрастающего поколения.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определила следующие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приобщение детей и подростков к лучшим традициям белорусской профессиональной музыкальной культуры;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пропаганда белорусской инструментальной музыкальной культуры среди детей и юношества;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талантливых учащихся и повышение их исполнительского уровня;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отбор одарённых детей для дальнейшего профессионального обучения;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обмен опытом и содействие профессиональному саморазвитию и творческой самореализации педагогов;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стимулирование методической инициативы педагогов к обогащению педагогического репертуара сочинениями белорусских композиторов;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укрепление творческих профессиональных контактов с современными белорусскими композиторами;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усиление идеологической и воспитательной работы, направленной на развитие национального самосознания в среде учащейся молодежи.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Уникальность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фестиваля-конкурса: единственный детский фестиваль-конкурс белорусской музыки, жюри которого возглавляет композитор-автор обязательных сочинений конкурсной программы.</w:t>
      </w:r>
    </w:p>
    <w:p>
      <w:pPr>
        <w:numPr>
          <w:ilvl w:val="0"/>
          <w:numId w:val="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Организатором фестиваля-конкурса являются: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учреждение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Дзержинская детская школа искусств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отдел идеологической работы, культуры и по делам молодежи Дзержинского райисполкома.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непосредственного руководства организацией и проведением фестиваля-конкурса создается организационный комитет (далее – оргкомитет), который также осуществляет подготовку и проведение фестиваля-конкурса, утверждает состав жюри и списки участников конкурса, рассматривает и утверждает план мероприятий по организации и проведению фестиваля-конкурса, осуществляет взаимодействие с заинтересованными субъектами культурной деятельности, другими организациями по вопросам подготовки проведения фестиваля-конкурса и его освещения в СМИ, решает иные вопросы подготовки и проведения фестиваля-конкурса. 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200" w:line="240"/>
        <w:ind w:right="0" w:left="720" w:hanging="1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Время и место проведения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фестиваля-конкурса</w:t>
      </w: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Конкурсные прослушивания состоятся на базе государственного учреждения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Дзержинская детская школа искусств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февраля 2022 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будут проходить публично.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Условия и порядок проведения фестиваля-конкурса</w:t>
      </w:r>
    </w:p>
    <w:p>
      <w:pPr>
        <w:numPr>
          <w:ilvl w:val="0"/>
          <w:numId w:val="14"/>
        </w:num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Фестиваль-конкурс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ДЗЯРЖЫНСКI КУФЭРАК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проводится для учащихся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струнных смычковых инструментов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детских школ искусств, музыкальных школ, общеобразовательных школ, музыкальных студий, учреждений дополнительного образования. </w:t>
      </w:r>
    </w:p>
    <w:p>
      <w:pPr>
        <w:numPr>
          <w:ilvl w:val="0"/>
          <w:numId w:val="14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Фестиваль-конкурс проводится в 2 этапа: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этап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является отборочным и проводится учреждениями образования на местах.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этап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является заключительным и проводится организатором фестиваля-конкурса.</w:t>
      </w:r>
    </w:p>
    <w:p>
      <w:pPr>
        <w:numPr>
          <w:ilvl w:val="0"/>
          <w:numId w:val="1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Фестиваль-конкурс проводится в номинациях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сольное и ансамблевое исполнительство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Ансамбль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номинация имеет свои категории и возрастные группы (Приложение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1).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 участников определяется по дате проведения 2-ого этапа конкурса.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3.4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Номинация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Соло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Включает 2 категории: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Скрипка/альт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Виолончель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которые делятся на 4 возрастные группы: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возрастная группа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младшая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 участников составляет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до 8 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включительно на день проведения 2-ого этапа фестиваля-конкурса;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возрастная группа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младшая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 участников составляет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9-10 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включительно на день проведения 2-ого этапа фестиваля-конкурса;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возрастная группа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средняя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 участников составляет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11-12 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включительно на день проведения 2-ого этапа фестиваля-конкурса;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IV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возрастная 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старшая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 участников составляет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13-16 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включительно на день проведения 2-ого этапа фестиваля-конкурса.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Номинация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Ансамбль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3.5.1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Включает 2 категории: малые формы (ансамбли до 4-х человек – дуэт, трио, квартет) и ансамбли от 5-ти человек.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3.5.2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ансамблях малых форм допускается участие концертмейстера;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ансамблях от 5-ти до 8-ми человек – один иллюстратор (в том числе руководитель ансамбля) и концертмейстер,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ансамблях от 9-ти человек – два иллюстратора (в том числе руководитель ансамбля) и концертмейстер.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3.5.3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Концертмейстер во всех категориях номинации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Ансамбль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входит в число участников коллектива, за исключением случаев, когда партию концертмейстера исполняет ученик.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3.5.4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фестивале-конкурсе возможно участие как однородных струнных смычковых ансамблей, так и смешанных (включающих духовые, ударные, народные и др. инструменты).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3.5.5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Ансамбли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всех категорий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делятся на 2 возрастные группы: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возрастная группа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младшая. Принадлежность к группе определяется по возрасту большинства участников-учеников / по среднему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суммарному возрасту участников-учеников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составляет 10 лет включительно на день проведения 2-ого этапа фестиваля-конкурса;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возрастная группа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старшая. Принадлежность к группе определяется по возрасту большинства участников-учеников / по среднему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суммарному возрасту участников-учеников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начинается от 11 лет на день проведения 2-ого этапа фестиваля-конкурса.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Очередность выступлений на фестивале-конкурсе определяется оргкомитетом по дате рождения участников (от младшего к старшему) и будет размещена на сайте школы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http://www.dzart.by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"http://www.dzart.by/"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так же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социальной сети Insаgram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https://www.instagram.com/dzerzhinskaiadshi/?r=nametag/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позднее чем за неделю до конкурсного прослушивания. </w:t>
      </w:r>
    </w:p>
    <w:p>
      <w:pPr>
        <w:numPr>
          <w:ilvl w:val="0"/>
          <w:numId w:val="2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Оргкомитет фестиваля-конкурса оставляет за собой право в особых случаях (недостаточное количество участников для конкурсной ситуации) объединить несколько категорий или возрастных групп в одну. </w:t>
      </w:r>
    </w:p>
    <w:p>
      <w:pPr>
        <w:numPr>
          <w:ilvl w:val="0"/>
          <w:numId w:val="2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Всем участникам фестиваля-конкурса предоставляется время для акустических репетиций на базе государственного учреждения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Дзержинская детская школа искусств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согласованию с оргкомитетом фестиваля-конкурса).</w:t>
      </w:r>
    </w:p>
    <w:p>
      <w:pPr>
        <w:numPr>
          <w:ilvl w:val="0"/>
          <w:numId w:val="2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зависимости от эпидемиологической ситуации в Республике Беларусь на момент проведения фестиваля-конкурса оргкомитет оставляет за собой право частично или полностью перевести проведение фестиваля-конкурса на дистанционный (заочный) формат (по видеозаписи) или перенести дату проведения фестиваля-конкурса.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Программные требования: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4.1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Все участники фестиваля-конкурса (солисты и ансамбли) исполняют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два произведения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белорусских композиторов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одно из которых написано лауреатом государственной стипендии (2009, 2010), обладателем юбилейного нагрудного знака Федерации профсоюзов (2010) и нагрудного знака Министерства культуры Республики Беларусь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 вклад в развитие культуры Республики Беларусь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(2017),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членом белорусского союза музыкальных деятелей Республики Беларусь (с 2009), членом белорусского союза композиторов (с 1996), членом правления белорусского союза композиторов (с 2010), автором-организатором многочисленных просветительских проектов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Алиной Ивановной Безенсон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4.2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Конкурсная программа в номинации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Соло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исполняется наизусть, в номинации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Ансамбль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допускается исполнение по нотам.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4.3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Изменение программы, указанной в заявке, в процессе конкурсного прослушивания не допускается. Каждое произведение исполняется 1 раз.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Жюри</w:t>
      </w:r>
    </w:p>
    <w:p>
      <w:pPr>
        <w:numPr>
          <w:ilvl w:val="0"/>
          <w:numId w:val="32"/>
        </w:numPr>
        <w:spacing w:before="24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оценки конкурсных выступлений создается компетентное жюри, председателем которого оргкомитет фестиваля-конкурса приглашает композитора, чьи произведения являются обязательной частью конкурсной программы, а также в состав жюри приглашаются ведущие педагоги и исполнители Республики Беларусь по классу струнных смычковых инструментов.</w:t>
      </w:r>
    </w:p>
    <w:p>
      <w:pPr>
        <w:numPr>
          <w:ilvl w:val="0"/>
          <w:numId w:val="32"/>
        </w:numPr>
        <w:spacing w:before="24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Разглашение имен членов жюри допускается за 10 дней до проведения фестиваля-конкурса. </w:t>
      </w:r>
    </w:p>
    <w:p>
      <w:pPr>
        <w:numPr>
          <w:ilvl w:val="0"/>
          <w:numId w:val="32"/>
        </w:num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выступлений участников фестиваля-конкурса осуществляется по 10-балльной системе по следующим критериям:</w:t>
      </w:r>
    </w:p>
    <w:p>
      <w:pPr>
        <w:numPr>
          <w:ilvl w:val="0"/>
          <w:numId w:val="32"/>
        </w:numPr>
        <w:spacing w:before="0" w:after="0" w:line="240"/>
        <w:ind w:right="0" w:left="1440" w:hanging="73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технический уровень исполняемых произведений;</w:t>
      </w:r>
    </w:p>
    <w:p>
      <w:pPr>
        <w:numPr>
          <w:ilvl w:val="0"/>
          <w:numId w:val="32"/>
        </w:numPr>
        <w:spacing w:before="0" w:after="0" w:line="240"/>
        <w:ind w:right="0" w:left="1440" w:hanging="73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чистота интонации;</w:t>
      </w:r>
    </w:p>
    <w:p>
      <w:pPr>
        <w:numPr>
          <w:ilvl w:val="0"/>
          <w:numId w:val="32"/>
        </w:numPr>
        <w:spacing w:before="0" w:after="0" w:line="240"/>
        <w:ind w:right="0" w:left="1440" w:hanging="73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яркость, индивидуальность исполнения;</w:t>
      </w:r>
    </w:p>
    <w:p>
      <w:pPr>
        <w:numPr>
          <w:ilvl w:val="0"/>
          <w:numId w:val="32"/>
        </w:num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точность передачи жанрово-стилистических и образно-содержательных особенностей произведений, раскрытие художественного образа.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5.4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Подведение итогов фестиваля-конкурса осуществляется решением жюри персонально по каждой кандидатуре. Председатель жюри имеет право дополнительного голоса при возникновении спорной ситуации.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5.5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жюри окончательное и обсуждению не подлежит! Оценочные баллы не выносятся на всеобщее обсуждение.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решению жюри определяется победитель фестиваля-конкурса в каждой категории и возрастной группе, которым вручаются дипломы I,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II, 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степени с присвоением звания Лауреата, дипломы I,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II, 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степени с присвоением звания Дипломанта и специальные призы.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5.7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Жюри имеет право присудить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Гран-При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отдельно в каждой номинации с вруч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ением приза.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5.8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Специальными дипломами фестиваля-конкурса будут отмечены лучшие исполнители произведений Алины Ивановны Безенсон.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5.9.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Оргкомитет и жюри фестиваля-конкурса могут учредить специальные призы и поощрительные дипломы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Юны вiртуоз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цягу да перамогi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Муза-натхненне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Муза-артыстызм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др.).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5.10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Жюри оставляет за собой право присуждать не все дипломы, либо увеличить количество дипломов, отметить грамотами учителей и концертмейстеров, ученики которых показали высокие творческие результаты. </w:t>
      </w:r>
    </w:p>
    <w:p>
      <w:pPr>
        <w:numPr>
          <w:ilvl w:val="0"/>
          <w:numId w:val="3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Порядок подачи заявок:</w:t>
      </w:r>
    </w:p>
    <w:p>
      <w:pPr>
        <w:numPr>
          <w:ilvl w:val="0"/>
          <w:numId w:val="3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участия во 2 заключительном этапе VII Открытого фестиваля-конкурса белорусской музыки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ДЗЯРЖЫНСКI КУФЭРАК – 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до 1 февраля 2022 года направить следующие документы на электронный адрес </w:t>
      </w: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28"/>
          <w:shd w:fill="auto" w:val="clear"/>
        </w:rPr>
        <w:t xml:space="preserve">Dz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vanish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HYPERLINK "mailto:_kuferac@mail.ru"</w:t>
        </w:r>
        <w:r>
          <w:rPr>
            <w:rFonts w:ascii="Times New Roman" w:hAnsi="Times New Roman" w:cs="Times New Roman" w:eastAsia="Times New Roman"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kuferac</w:t>
        </w:r>
        <w:r>
          <w:rPr>
            <w:rFonts w:ascii="Times New Roman" w:hAnsi="Times New Roman" w:cs="Times New Roman" w:eastAsia="Times New Roman"/>
            <w:vanish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HYPERLINK "mailto:_kuferac@mail.ru"</w:t>
        </w:r>
        <w:r>
          <w:rPr>
            <w:rFonts w:ascii="Times New Roman" w:hAnsi="Times New Roman" w:cs="Times New Roman" w:eastAsia="Times New Roman"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@</w:t>
        </w:r>
        <w:r>
          <w:rPr>
            <w:rFonts w:ascii="Times New Roman" w:hAnsi="Times New Roman" w:cs="Times New Roman" w:eastAsia="Times New Roman"/>
            <w:vanish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HYPERLINK "mailto:_kuferac@mail.ru"</w:t>
        </w:r>
        <w:r>
          <w:rPr>
            <w:rFonts w:ascii="Times New Roman" w:hAnsi="Times New Roman" w:cs="Times New Roman" w:eastAsia="Times New Roman"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mail</w:t>
        </w:r>
        <w:r>
          <w:rPr>
            <w:rFonts w:ascii="Times New Roman" w:hAnsi="Times New Roman" w:cs="Times New Roman" w:eastAsia="Times New Roman"/>
            <w:vanish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HYPERLINK "mailto:_kuferac@mail.ru"</w:t>
        </w:r>
        <w:r>
          <w:rPr>
            <w:rFonts w:ascii="Times New Roman" w:hAnsi="Times New Roman" w:cs="Times New Roman" w:eastAsia="Times New Roman"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vanish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HYPERLINK "mailto:_kuferac@mail.ru"</w:t>
        </w:r>
        <w:r>
          <w:rPr>
            <w:rFonts w:ascii="Times New Roman" w:hAnsi="Times New Roman" w:cs="Times New Roman" w:eastAsia="Times New Roman"/>
            <w:color w:val="002060"/>
            <w:spacing w:val="0"/>
            <w:position w:val="0"/>
            <w:sz w:val="28"/>
            <w:u w:val="single"/>
            <w:shd w:fill="auto" w:val="clear"/>
          </w:rPr>
          <w:t xml:space="preserve">ru</w:t>
        </w:r>
      </w:hyperlink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заявку согласно форме (Приложения 2, 3);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квитанцию об оплате вступительного взноса;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копию свидетельства о рождении или копию паспорта ученика (в ансамбле – каждого участника);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фото участника, коллективное фото ансамбля разрешением 300 dpi на дюйм, тип файла – jpg;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файл с фотографией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необходимо подписать следующим образом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номинация, Ф.И. участника/категория ансамбля (дуэт, трио, квартет, ансамбль), возрастная группа;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копию удостоверения многодетной семьи, копию документа об инвалидности, копию документа, удостоверяющий факт установления опеки над ребенком (при необходимости).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6.2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Неполный пакет документов, а также документы, поступившие позднее 1 февраля 2022 года, рассмотрению не подлежат. Заявки, оформленные не по установленной форме, не рассматриваются. Невыполнение условий Положения влечет исключение из числа участников. Заявитель несет ответственность представленных сведений и соответствие исполняемого репертуара заявленному. 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6.3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фестивале-конкурсе принимают участие солисты и ансамбли, которые после отправки документов получили приглашение на участие в фестивале-конкурсе.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6.4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Участники фестиваля-конкурса подтверждают свое согласие на публикацию их имени и фотографий в средствах массовой информации и сети Интернет, а также дают согласие на проведение с ними интервью для СМИ, если это, по мнению оргкомитета фестиваля-конкурса, будет содействовать формированию положительного имиджа фестиваля-конкурса.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09" w:hanging="1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Финансовые условия конкурса</w:t>
      </w:r>
    </w:p>
    <w:p>
      <w:pPr>
        <w:numPr>
          <w:ilvl w:val="0"/>
          <w:numId w:val="4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Финансирование фестиваля-конкурса осуществляется за счет вступительных взносов участников на добровольной основе в размере, установленном оргкомитетом, а также иных источников, не запрещённых законодательством Республики Беларусь.</w:t>
      </w:r>
    </w:p>
    <w:p>
      <w:pPr>
        <w:numPr>
          <w:ilvl w:val="0"/>
          <w:numId w:val="4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участников фестиваля-конкурса устанавливается организационный вступительный взнос:</w:t>
      </w:r>
    </w:p>
    <w:p>
      <w:pPr>
        <w:tabs>
          <w:tab w:val="left" w:pos="851" w:leader="none"/>
          <w:tab w:val="left" w:pos="993" w:leader="none"/>
        </w:tabs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номинации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Соло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составляет 1,5 базовые величины; </w:t>
      </w:r>
    </w:p>
    <w:p>
      <w:pPr>
        <w:tabs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номинации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Ансамбль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4-х человек включительно (малые формы) – 1 базовая величина с каждого участника, осуществляется одним платежом с пометкой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Ансамбль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»; </w:t>
      </w:r>
    </w:p>
    <w:p>
      <w:pPr>
        <w:tabs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номинации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Ансамбль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5-ти человек – 0,5 базовой величины с каждого участника;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участников в двух номинациях оплата в любой категории ансамбля составляет 50%, в случае участия в разных категориях номинации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Ансамбль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скидка 50% распространяется на ансамбль от 5-ти человек;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участников в трех и более категориях предусмотрена скидка 50 % в любых последующих категориях меньшей стоимости;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оплата с концертмейстеров во всех номинациях не взымается, за исключением случаев, когда партию концертмейстера исполняет ученик.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участников из многодетных семей предусмотрена скидка 15%, для детей-инвалидов и детей, воспитывающихся в опекунских семьях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50 % только на одну номинацию/категорию.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Вступительный взнос перечисляется на: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расчетный счет внебюджета BY51 AKBB 3632 0606 0004 1600 0000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 ЦБУ № 606 ОАО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АСБ Беларусбанк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 г.Дзержинске,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BIC AKBBBY2X,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ОКПО 02234624, УНН 600024860.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Адрес банка: 222720, г.Дзержинск, ул. К.Маркса, 17.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FFFF00" w:val="clear"/>
        </w:rPr>
      </w:pPr>
    </w:p>
    <w:p>
      <w:pPr>
        <w:numPr>
          <w:ilvl w:val="0"/>
          <w:numId w:val="50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платежа: вступительный взнос за участие в конкурсе.</w:t>
      </w:r>
    </w:p>
    <w:p>
      <w:pPr>
        <w:numPr>
          <w:ilvl w:val="0"/>
          <w:numId w:val="50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квитанции необходимо указать Ф.И. участника / ансамбль.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7.5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отказа кандидатов от участия в фестивале-конкурсе (в том числе по уважительной причине) вступительный взнос не возвращается.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Доходы от вступительного взноса участников, после уплаты в установленном законодательством порядке налогов, направляются на формирование призового фонда, приобретение сувенирной продукции, памятных подарков, канцелярских и хозяйственных товаров, изготовление афиш, дипломов, буклетов, грамот, вознаграждение членов жюри конкурса, возмещение коммунальных и эксплуатационных услуг и иные цели в соответствии с законодательными актами Республики Беларусь.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7.7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Расходы, связанные с пребыванием участников и их сопровождающих, обеспечиваются за счет направляющей стороны. Лица, сопровождающие конкурсантов, несут ответственность за их жизнь и здоровье.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Информация о проведении конкурса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его итогах будет размещаться на информационном сайте государственного учреждения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Дзержинская детская школа искусств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http://www.dzart.by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"http://www.dzart.by/"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так же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социальной сети Insаgram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https://www.instagram.com/dzerzhinskaiadshi/?r=nametag/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Контактная информация: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всем вопросам обращаться в оргкомитет конкурса по телефонам: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тел./факс (8-01716) 6-51-38; 6-45-79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Костюк Ирина Владимировна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(директор)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(+37529) 627-44-75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Гроховская Мария Владимировна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(заместитель директора по учебно-воспитательной работе)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(+37529) 703-28-94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Политанская Ольга Ивановна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(доцент кафедры музыкально-педагогического образования БГПУ имени Максима Танка, заведующая секцией фортепиано, кандидат искусствоведения, доцент)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(+37529) 317-45-32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Петкевич Елена Францевна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(заведующая струнным смычковым отделением, учитель по классу скрипки)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(+37529) 776-23-85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Холодинская Ольга Николаевна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(учитель по классу виолончели)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(+37529) 705-50-96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Ляхова Наталья Александровна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(заведующая фортепианным отделением)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Приложение 1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2253"/>
        <w:gridCol w:w="1711"/>
        <w:gridCol w:w="5380"/>
      </w:tblGrid>
      <w:tr>
        <w:trPr>
          <w:trHeight w:val="1" w:hRule="atLeast"/>
          <w:jc w:val="left"/>
        </w:trPr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Номинации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Категории</w:t>
            </w:r>
          </w:p>
        </w:tc>
        <w:tc>
          <w:tcPr>
            <w:tcW w:w="5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Возрастные группы</w:t>
            </w:r>
          </w:p>
        </w:tc>
      </w:tr>
      <w:tr>
        <w:trPr>
          <w:trHeight w:val="1" w:hRule="atLeast"/>
          <w:jc w:val="left"/>
        </w:trPr>
        <w:tc>
          <w:tcPr>
            <w:tcW w:w="22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Сольное исполнительство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Соло)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Скрипка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альт</w:t>
            </w:r>
          </w:p>
        </w:tc>
        <w:tc>
          <w:tcPr>
            <w:tcW w:w="5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22" w:hanging="32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Младшая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 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 8 лет включительно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322" w:hanging="32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Младшая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 – 9-10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лет включительно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322" w:hanging="32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Средняя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 – 11-12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лет включительно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322" w:hanging="322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Старшая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 – 13-16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лет включительно </w:t>
            </w:r>
          </w:p>
        </w:tc>
      </w:tr>
      <w:tr>
        <w:trPr>
          <w:trHeight w:val="1" w:hRule="atLeast"/>
          <w:jc w:val="left"/>
        </w:trPr>
        <w:tc>
          <w:tcPr>
            <w:tcW w:w="22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Виолончель</w:t>
            </w:r>
          </w:p>
        </w:tc>
        <w:tc>
          <w:tcPr>
            <w:tcW w:w="5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Ансамблевое исполнительство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Ансамбль)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Малые формы (до 4 человек)</w:t>
            </w:r>
          </w:p>
        </w:tc>
        <w:tc>
          <w:tcPr>
            <w:tcW w:w="5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2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322" w:hanging="32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Младшая – до 10 лет включительно</w:t>
            </w: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322" w:hanging="32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Старшая – от 11 лет</w:t>
            </w:r>
          </w:p>
          <w:p>
            <w:pPr>
              <w:spacing w:before="0" w:after="0" w:line="240"/>
              <w:ind w:right="0" w:left="322" w:hanging="322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Ансамбли от 5 человек</w:t>
            </w:r>
          </w:p>
        </w:tc>
        <w:tc>
          <w:tcPr>
            <w:tcW w:w="5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2</w:t>
      </w:r>
    </w:p>
    <w:p>
      <w:pPr>
        <w:spacing w:before="0" w:after="0" w:line="240"/>
        <w:ind w:right="0" w:left="0" w:firstLine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участия в номинации</w:t>
      </w:r>
    </w:p>
    <w:p>
      <w:pPr>
        <w:spacing w:before="0" w:after="0" w:line="240"/>
        <w:ind w:right="0" w:left="0" w:firstLine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Сольное исполнительство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ЗАЯВКА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участие в VII Открытом фестивале-конкурсе белорусской музыки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ДЗЯРЖЫНСКI КУФЭРАК - 2022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рамках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Белорусское музыкальное наследие детям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номинации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Сольное исполнительство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173"/>
        <w:gridCol w:w="6171"/>
      </w:tblGrid>
      <w:tr>
        <w:trPr>
          <w:trHeight w:val="497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Ф.И.О. участника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русском и белорусском языках)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3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рождения 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Сколько полных лет на момент участия в фестивале-конкурсе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7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Возрастная группа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2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Класс в музыкальной школе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Учебное заведение, адрес, контактный телефон, факс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русском и белорусском языках)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Ф.И.О. учителя, контактный телефон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русском и белорусском языках)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Ф.И.О. концертмейстера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русском и белорусском языках)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выступления с указанием хронометража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1.____________________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хронометраж</w:t>
            </w:r>
          </w:p>
          <w:p>
            <w:pPr>
              <w:spacing w:before="0" w:after="0" w:line="240"/>
              <w:ind w:right="0" w:left="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2.____________________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хронометраж </w:t>
            </w:r>
          </w:p>
        </w:tc>
      </w:tr>
    </w:tbl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Директор</w:t>
        <w:tab/>
        <w:tab/>
        <w:tab/>
        <w:tab/>
        <w:tab/>
        <w:tab/>
        <w:tab/>
        <w:tab/>
        <w:tab/>
        <w:t xml:space="preserve">И.О.Ф.</w:t>
      </w: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3</w:t>
      </w:r>
    </w:p>
    <w:p>
      <w:pPr>
        <w:spacing w:before="0" w:after="0" w:line="240"/>
        <w:ind w:right="0" w:left="0" w:firstLine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участия в номинации</w:t>
      </w:r>
    </w:p>
    <w:p>
      <w:pPr>
        <w:spacing w:before="0" w:after="0" w:line="240"/>
        <w:ind w:right="0" w:left="0" w:firstLine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Ансамблевое исполнительство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ЗАЯВКА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участие в VII Открытом фестивале-конкурсе белорусской музыки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ДЗЯРЖЫНСКI КУФЭРАК - 2022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рамках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Белорусское музыкальное наследие детям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номинации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Ансамблевое исполнительство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173"/>
        <w:gridCol w:w="6171"/>
      </w:tblGrid>
      <w:tr>
        <w:trPr>
          <w:trHeight w:val="497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Категория ансамбля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3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ансамбля на русском и белорусском языках (при наличии) 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Возрастная группа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7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Ф.И. участников-учеников с указанием возраста и даты рождения каждого участника (на белорусском языке)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7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Ф.И.О иллюстратора (на русском и белорусском языках) с указанием инструмента (при наличии)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Учебное заведение, адрес, контактный телефон, факс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русском и белорусском языках)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Ф.И.О. руководителя, контактный телефон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русском и белорусском языках)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Ф.И.О. концертмейстера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 русском и белорусском языках)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выступления с указанием хронометража</w:t>
            </w:r>
          </w:p>
        </w:tc>
        <w:tc>
          <w:tcPr>
            <w:tcW w:w="6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1.____________________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хронометраж</w:t>
            </w:r>
          </w:p>
          <w:p>
            <w:pPr>
              <w:spacing w:before="0" w:after="0" w:line="240"/>
              <w:ind w:right="0" w:left="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2.____________________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хронометраж </w:t>
            </w:r>
          </w:p>
        </w:tc>
      </w:tr>
    </w:tbl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Директор</w:t>
        <w:tab/>
        <w:tab/>
        <w:tab/>
        <w:tab/>
        <w:tab/>
        <w:tab/>
        <w:tab/>
        <w:tab/>
        <w:tab/>
        <w:t xml:space="preserve">И.О.Ф.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8">
    <w:abstractNumId w:val="78"/>
  </w:num>
  <w:num w:numId="11">
    <w:abstractNumId w:val="72"/>
  </w:num>
  <w:num w:numId="14">
    <w:abstractNumId w:val="66"/>
  </w:num>
  <w:num w:numId="18">
    <w:abstractNumId w:val="60"/>
  </w:num>
  <w:num w:numId="23">
    <w:abstractNumId w:val="54"/>
  </w:num>
  <w:num w:numId="28">
    <w:abstractNumId w:val="48"/>
  </w:num>
  <w:num w:numId="30">
    <w:abstractNumId w:val="42"/>
  </w:num>
  <w:num w:numId="32">
    <w:abstractNumId w:val="36"/>
  </w:num>
  <w:num w:numId="38">
    <w:abstractNumId w:val="30"/>
  </w:num>
  <w:num w:numId="42">
    <w:abstractNumId w:val="24"/>
  </w:num>
  <w:num w:numId="50">
    <w:abstractNumId w:val="18"/>
  </w:num>
  <w:num w:numId="52">
    <w:abstractNumId w:val="12"/>
  </w:num>
  <w:num w:numId="67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instagram.com/dzerzhinskaiadshi/?r=nametag/" Id="docRId1" Type="http://schemas.openxmlformats.org/officeDocument/2006/relationships/hyperlink"/><Relationship TargetMode="External" Target="http://www.dzart.by/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www.dzart.by/" Id="docRId0" Type="http://schemas.openxmlformats.org/officeDocument/2006/relationships/hyperlink"/><Relationship TargetMode="External" Target="mailto:_kuferac@mail.ru" Id="docRId2" Type="http://schemas.openxmlformats.org/officeDocument/2006/relationships/hyperlink"/><Relationship TargetMode="External" Target="https://www.instagram.com/dzerzhinskaiadshi/?r=nametag/" Id="docRId4" Type="http://schemas.openxmlformats.org/officeDocument/2006/relationships/hyperlink"/><Relationship Target="styles.xml" Id="docRId6" Type="http://schemas.openxmlformats.org/officeDocument/2006/relationships/styles"/></Relationships>
</file>