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0BE5" w:rsidRPr="00010BE5" w:rsidRDefault="00010BE5" w:rsidP="00010B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9" w:lineRule="atLeast"/>
        <w:jc w:val="center"/>
        <w:rPr>
          <w:rFonts w:ascii="inherit" w:eastAsia="Times New Roman" w:hAnsi="inherit" w:cs="Courier New"/>
          <w:b/>
          <w:bCs/>
          <w:i/>
          <w:iCs/>
          <w:color w:val="7030A0"/>
          <w:sz w:val="56"/>
          <w:szCs w:val="56"/>
          <w:u w:val="single"/>
          <w:lang w:eastAsia="fr-FR"/>
        </w:rPr>
      </w:pPr>
      <w:r w:rsidRPr="00010BE5">
        <w:rPr>
          <w:rFonts w:ascii="inherit" w:eastAsia="Times New Roman" w:hAnsi="inherit" w:cs="Courier New"/>
          <w:b/>
          <w:bCs/>
          <w:i/>
          <w:iCs/>
          <w:color w:val="7030A0"/>
          <w:sz w:val="56"/>
          <w:szCs w:val="56"/>
          <w:u w:val="single"/>
          <w:lang w:eastAsia="fr-FR"/>
        </w:rPr>
        <w:t>5G</w:t>
      </w:r>
    </w:p>
    <w:p w:rsidR="00010BE5" w:rsidRDefault="00010BE5" w:rsidP="00010B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9" w:lineRule="atLeast"/>
        <w:rPr>
          <w:rFonts w:ascii="inherit" w:eastAsia="Times New Roman" w:hAnsi="inherit" w:cs="Courier New"/>
          <w:color w:val="202124"/>
          <w:sz w:val="34"/>
          <w:lang w:eastAsia="fr-FR"/>
        </w:rPr>
      </w:pPr>
    </w:p>
    <w:p w:rsidR="00010BE5" w:rsidRDefault="00010BE5" w:rsidP="00010B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9" w:lineRule="atLeast"/>
        <w:rPr>
          <w:rFonts w:ascii="inherit" w:eastAsia="Times New Roman" w:hAnsi="inherit" w:cs="Courier New"/>
          <w:color w:val="202124"/>
          <w:sz w:val="34"/>
          <w:lang w:eastAsia="fr-FR"/>
        </w:rPr>
      </w:pPr>
    </w:p>
    <w:p w:rsidR="00010BE5" w:rsidRDefault="00010BE5" w:rsidP="00010B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9" w:lineRule="atLeast"/>
        <w:rPr>
          <w:rFonts w:ascii="inherit" w:eastAsia="Times New Roman" w:hAnsi="inherit" w:cs="Courier New"/>
          <w:color w:val="202124"/>
          <w:sz w:val="34"/>
          <w:lang w:eastAsia="fr-FR"/>
        </w:rPr>
      </w:pPr>
    </w:p>
    <w:p w:rsidR="00010BE5" w:rsidRPr="00010BE5" w:rsidRDefault="00010BE5" w:rsidP="00010B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9" w:lineRule="atLeast"/>
        <w:rPr>
          <w:rFonts w:ascii="inherit" w:eastAsia="Times New Roman" w:hAnsi="inherit" w:cs="Courier New"/>
          <w:color w:val="202124"/>
          <w:sz w:val="34"/>
          <w:lang w:eastAsia="fr-FR"/>
        </w:rPr>
      </w:pPr>
      <w:r w:rsidRPr="00010BE5">
        <w:rPr>
          <w:rFonts w:ascii="inherit" w:eastAsia="Times New Roman" w:hAnsi="inherit" w:cs="Courier New"/>
          <w:color w:val="202124"/>
          <w:sz w:val="34"/>
          <w:lang w:eastAsia="fr-FR"/>
        </w:rPr>
        <w:t xml:space="preserve">5G est l'abréviation de 5th </w:t>
      </w:r>
      <w:proofErr w:type="spellStart"/>
      <w:r w:rsidRPr="00010BE5">
        <w:rPr>
          <w:rFonts w:ascii="inherit" w:eastAsia="Times New Roman" w:hAnsi="inherit" w:cs="Courier New"/>
          <w:color w:val="202124"/>
          <w:sz w:val="34"/>
          <w:lang w:eastAsia="fr-FR"/>
        </w:rPr>
        <w:t>Generation</w:t>
      </w:r>
      <w:proofErr w:type="spellEnd"/>
      <w:r w:rsidRPr="00010BE5">
        <w:rPr>
          <w:rFonts w:ascii="inherit" w:eastAsia="Times New Roman" w:hAnsi="inherit" w:cs="Courier New"/>
          <w:color w:val="202124"/>
          <w:sz w:val="34"/>
          <w:lang w:eastAsia="fr-FR"/>
        </w:rPr>
        <w:t xml:space="preserve"> Mobile Network, également appelée New Radio (NR). Son nom officiel est IMT-2020, où IMT est l'abréviation </w:t>
      </w:r>
      <w:proofErr w:type="gramStart"/>
      <w:r w:rsidRPr="00010BE5">
        <w:rPr>
          <w:rFonts w:ascii="inherit" w:eastAsia="Times New Roman" w:hAnsi="inherit" w:cs="Courier New"/>
          <w:color w:val="202124"/>
          <w:sz w:val="34"/>
          <w:lang w:eastAsia="fr-FR"/>
        </w:rPr>
        <w:t>de International</w:t>
      </w:r>
      <w:proofErr w:type="gramEnd"/>
      <w:r w:rsidRPr="00010BE5">
        <w:rPr>
          <w:rFonts w:ascii="inherit" w:eastAsia="Times New Roman" w:hAnsi="inherit" w:cs="Courier New"/>
          <w:color w:val="202124"/>
          <w:sz w:val="34"/>
          <w:lang w:eastAsia="fr-FR"/>
        </w:rPr>
        <w:t xml:space="preserve"> Mobile </w:t>
      </w:r>
      <w:proofErr w:type="spellStart"/>
      <w:r w:rsidRPr="00010BE5">
        <w:rPr>
          <w:rFonts w:ascii="inherit" w:eastAsia="Times New Roman" w:hAnsi="inherit" w:cs="Courier New"/>
          <w:color w:val="202124"/>
          <w:sz w:val="34"/>
          <w:lang w:eastAsia="fr-FR"/>
        </w:rPr>
        <w:t>Telecommunications</w:t>
      </w:r>
      <w:proofErr w:type="spellEnd"/>
      <w:r w:rsidRPr="00010BE5">
        <w:rPr>
          <w:rFonts w:ascii="inherit" w:eastAsia="Times New Roman" w:hAnsi="inherit" w:cs="Courier New"/>
          <w:color w:val="202124"/>
          <w:sz w:val="34"/>
          <w:lang w:eastAsia="fr-FR"/>
        </w:rPr>
        <w:t>. Par conséquent, la 5G peut être comprise comme des communications mobiles internationales en 2020 et plus tard.</w:t>
      </w:r>
    </w:p>
    <w:p w:rsidR="00010BE5" w:rsidRPr="00010BE5" w:rsidRDefault="00010BE5" w:rsidP="00010B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9" w:lineRule="atLeast"/>
        <w:rPr>
          <w:rFonts w:ascii="inherit" w:eastAsia="Times New Roman" w:hAnsi="inherit" w:cs="Courier New"/>
          <w:color w:val="202124"/>
          <w:sz w:val="34"/>
          <w:lang w:eastAsia="fr-FR"/>
        </w:rPr>
      </w:pPr>
    </w:p>
    <w:p w:rsidR="00010BE5" w:rsidRDefault="00010BE5" w:rsidP="00010B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9" w:lineRule="atLeast"/>
        <w:rPr>
          <w:rFonts w:ascii="inherit" w:eastAsia="Times New Roman" w:hAnsi="inherit" w:cs="Courier New"/>
          <w:color w:val="202124"/>
          <w:sz w:val="34"/>
          <w:lang w:eastAsia="fr-FR"/>
        </w:rPr>
      </w:pPr>
      <w:r w:rsidRPr="00010BE5">
        <w:rPr>
          <w:rFonts w:ascii="inherit" w:eastAsia="Times New Roman" w:hAnsi="inherit" w:cs="Courier New"/>
          <w:color w:val="202124"/>
          <w:sz w:val="34"/>
          <w:lang w:eastAsia="fr-FR"/>
        </w:rPr>
        <w:t>Ensuite, qui a défini ce nom formel, et qui est chargé d'en formuler le contenu détaillé et les spécifications ? Il s'agit respectivement de l'Union internationale des télécommunications (UIT) et du Projet de partenariat de 3e génération (3GPP), les deux organismes de normalisation les plus importants dans le développement des communications sans fil. En termes simples, l'UIT est chargée de proposer la vision et les exigences de la 5G ainsi que de procéder à l'acceptation finale et à l'approbation des résultats, tandis que le 3GPP est chargé d'élaborer des spécifications techniques et des normes détaillées.</w:t>
      </w:r>
    </w:p>
    <w:p w:rsidR="00010BE5" w:rsidRPr="00010BE5" w:rsidRDefault="00010BE5" w:rsidP="00010BE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9" w:lineRule="atLeast"/>
        <w:rPr>
          <w:rFonts w:ascii="inherit" w:eastAsia="Times New Roman" w:hAnsi="inherit" w:cs="Courier New"/>
          <w:color w:val="202124"/>
          <w:sz w:val="34"/>
          <w:szCs w:val="34"/>
          <w:lang w:eastAsia="fr-FR"/>
        </w:rPr>
      </w:pPr>
    </w:p>
    <w:p w:rsidR="00CF0A25" w:rsidRDefault="00CF0A25"/>
    <w:p w:rsidR="00010BE5" w:rsidRDefault="00010BE5"/>
    <w:p w:rsidR="00010BE5" w:rsidRDefault="00010BE5"/>
    <w:p w:rsidR="00010BE5" w:rsidRDefault="00010BE5"/>
    <w:p w:rsidR="00010BE5" w:rsidRDefault="00010BE5"/>
    <w:p w:rsidR="00010BE5" w:rsidRDefault="00010BE5"/>
    <w:p w:rsidR="00010BE5" w:rsidRDefault="00010BE5"/>
    <w:p w:rsidR="00010BE5" w:rsidRDefault="00010BE5"/>
    <w:p w:rsidR="00010BE5" w:rsidRDefault="00010BE5" w:rsidP="00010BE5">
      <w:pPr>
        <w:jc w:val="center"/>
        <w:rPr>
          <w:rFonts w:ascii="Arial" w:hAnsi="Arial" w:cs="Arial"/>
          <w:b/>
          <w:bCs/>
          <w:i/>
          <w:iCs/>
          <w:color w:val="7030A0"/>
          <w:spacing w:val="10"/>
          <w:sz w:val="40"/>
          <w:szCs w:val="40"/>
          <w:u w:val="single"/>
        </w:rPr>
      </w:pPr>
      <w:r w:rsidRPr="00010BE5">
        <w:rPr>
          <w:rFonts w:ascii="Arial" w:hAnsi="Arial" w:cs="Arial"/>
          <w:b/>
          <w:bCs/>
          <w:i/>
          <w:iCs/>
          <w:color w:val="7030A0"/>
          <w:spacing w:val="10"/>
          <w:sz w:val="40"/>
          <w:szCs w:val="40"/>
          <w:u w:val="single"/>
        </w:rPr>
        <w:lastRenderedPageBreak/>
        <w:t>ITU</w:t>
      </w:r>
    </w:p>
    <w:p w:rsidR="00010BE5" w:rsidRDefault="00010BE5" w:rsidP="00010BE5">
      <w:pPr>
        <w:pStyle w:val="PrformatHTML"/>
        <w:shd w:val="clear" w:color="auto" w:fill="F8F9FA"/>
        <w:spacing w:line="439" w:lineRule="atLeast"/>
        <w:jc w:val="both"/>
        <w:rPr>
          <w:rFonts w:ascii="inherit" w:hAnsi="inherit"/>
          <w:color w:val="202124"/>
          <w:sz w:val="34"/>
          <w:szCs w:val="34"/>
        </w:rPr>
      </w:pPr>
      <w:r>
        <w:rPr>
          <w:rStyle w:val="y2iqfc"/>
          <w:rFonts w:ascii="inherit" w:hAnsi="inherit"/>
          <w:color w:val="202124"/>
          <w:sz w:val="34"/>
          <w:szCs w:val="34"/>
        </w:rPr>
        <w:t>L'UIT est la première des 15 agences s</w:t>
      </w:r>
      <w:r w:rsidR="00CB0576">
        <w:rPr>
          <w:rStyle w:val="y2iqfc"/>
          <w:rFonts w:ascii="inherit" w:hAnsi="inherit"/>
          <w:color w:val="202124"/>
          <w:sz w:val="34"/>
          <w:szCs w:val="34"/>
        </w:rPr>
        <w:t>pécialisées des Nations Unies Elle</w:t>
      </w:r>
      <w:r>
        <w:rPr>
          <w:rStyle w:val="y2iqfc"/>
          <w:rFonts w:ascii="inherit" w:hAnsi="inherit"/>
          <w:color w:val="202124"/>
          <w:sz w:val="34"/>
          <w:szCs w:val="34"/>
        </w:rPr>
        <w:t xml:space="preserve"> est principalement responsable des technologies de l'information et de la communication (TIC). Nous bénéficions du travail de l'UIT dans notre vie quotidienne, comme passer des appels téléphoniques, surfer sur Internet ou envoyer des courriers électroniques.</w:t>
      </w:r>
    </w:p>
    <w:p w:rsidR="00010BE5" w:rsidRDefault="00010BE5" w:rsidP="00010BE5">
      <w:pPr>
        <w:jc w:val="center"/>
        <w:rPr>
          <w:rFonts w:ascii="Arial" w:hAnsi="Arial" w:cs="Arial"/>
          <w:b/>
          <w:bCs/>
          <w:i/>
          <w:iCs/>
          <w:color w:val="7030A0"/>
          <w:spacing w:val="10"/>
          <w:sz w:val="40"/>
          <w:szCs w:val="40"/>
          <w:u w:val="single"/>
        </w:rPr>
      </w:pP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r>
        <w:rPr>
          <w:rStyle w:val="y2iqfc"/>
          <w:rFonts w:ascii="inherit" w:hAnsi="inherit"/>
          <w:color w:val="202124"/>
          <w:sz w:val="34"/>
          <w:szCs w:val="34"/>
        </w:rPr>
        <w:t>L'UIT se compose de trois Secteurs: le Secteur des radiocommunications de l'UIT (UIT-R), le Secteur de la normalisation des télécommunications de l'UIT (UIT-T) et le Secteur du développement des télécommunications de l'UIT (UIT-D), avec plusieurs groupes de travail de recherche (GT) dans chaque Secteur. La normalisation 5G est principalement effectuée par le groupe de travail 5D (WP 5D) de l'UIT-R.</w:t>
      </w: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p>
    <w:p w:rsidR="00010BE5" w:rsidRDefault="00010BE5" w:rsidP="00010BE5">
      <w:pPr>
        <w:pStyle w:val="PrformatHTML"/>
        <w:shd w:val="clear" w:color="auto" w:fill="F8F9FA"/>
        <w:spacing w:line="439" w:lineRule="atLeast"/>
        <w:jc w:val="both"/>
        <w:rPr>
          <w:rFonts w:ascii="inherit" w:hAnsi="inherit"/>
          <w:color w:val="202124"/>
          <w:sz w:val="34"/>
          <w:szCs w:val="34"/>
        </w:rPr>
      </w:pPr>
      <w:r>
        <w:rPr>
          <w:rStyle w:val="y2iqfc"/>
          <w:rFonts w:ascii="inherit" w:hAnsi="inherit"/>
          <w:color w:val="202124"/>
          <w:sz w:val="34"/>
          <w:szCs w:val="34"/>
        </w:rPr>
        <w:t>Lors de la formulation des normes 5G, l'UIT est principalement responsable de la recherche au stade précoce de la normalisation et promeut en permanence le consensus sur les normes 5G mondiales. En septembre 2015, l'UIT a officiellement nommé la 5G "IMT-2020", ce qui correspond aux noms officiels de la 3G (IMT-2000) et de la 4G (IMT-Advanced). L'UIT a également finalisé le logo officiel de la 5G.</w:t>
      </w:r>
    </w:p>
    <w:p w:rsidR="00010BE5" w:rsidRDefault="00010BE5" w:rsidP="00010BE5">
      <w:pPr>
        <w:jc w:val="center"/>
        <w:rPr>
          <w:rFonts w:ascii="Arial" w:hAnsi="Arial" w:cs="Arial"/>
          <w:b/>
          <w:bCs/>
          <w:i/>
          <w:iCs/>
          <w:color w:val="7030A0"/>
          <w:spacing w:val="10"/>
          <w:sz w:val="40"/>
          <w:szCs w:val="40"/>
          <w:u w:val="single"/>
        </w:rPr>
      </w:pPr>
    </w:p>
    <w:p w:rsidR="00010BE5" w:rsidRDefault="00010BE5" w:rsidP="00010BE5">
      <w:pPr>
        <w:jc w:val="center"/>
        <w:rPr>
          <w:rFonts w:ascii="Arial" w:hAnsi="Arial" w:cs="Arial"/>
          <w:b/>
          <w:bCs/>
          <w:i/>
          <w:iCs/>
          <w:color w:val="7030A0"/>
          <w:spacing w:val="10"/>
          <w:sz w:val="40"/>
          <w:szCs w:val="40"/>
          <w:u w:val="single"/>
        </w:rPr>
      </w:pPr>
    </w:p>
    <w:p w:rsidR="00010BE5" w:rsidRDefault="00010BE5" w:rsidP="00010BE5">
      <w:pPr>
        <w:jc w:val="center"/>
        <w:rPr>
          <w:rFonts w:ascii="Arial" w:hAnsi="Arial" w:cs="Arial"/>
          <w:b/>
          <w:bCs/>
          <w:i/>
          <w:iCs/>
          <w:color w:val="7030A0"/>
          <w:spacing w:val="10"/>
          <w:sz w:val="40"/>
          <w:szCs w:val="40"/>
          <w:u w:val="single"/>
        </w:rPr>
      </w:pPr>
    </w:p>
    <w:p w:rsidR="00010BE5" w:rsidRDefault="00010BE5" w:rsidP="00010BE5">
      <w:pPr>
        <w:jc w:val="center"/>
        <w:rPr>
          <w:rFonts w:ascii="Arial" w:hAnsi="Arial" w:cs="Arial"/>
          <w:b/>
          <w:bCs/>
          <w:i/>
          <w:iCs/>
          <w:color w:val="7030A0"/>
          <w:spacing w:val="10"/>
          <w:sz w:val="40"/>
          <w:szCs w:val="40"/>
          <w:u w:val="single"/>
        </w:rPr>
      </w:pPr>
    </w:p>
    <w:p w:rsidR="00010BE5" w:rsidRDefault="00010BE5" w:rsidP="00010BE5">
      <w:pPr>
        <w:jc w:val="center"/>
        <w:rPr>
          <w:rFonts w:ascii="Arial" w:hAnsi="Arial" w:cs="Arial"/>
          <w:b/>
          <w:bCs/>
          <w:i/>
          <w:iCs/>
          <w:color w:val="7030A0"/>
          <w:spacing w:val="10"/>
          <w:sz w:val="40"/>
          <w:szCs w:val="40"/>
          <w:u w:val="single"/>
        </w:rPr>
      </w:pPr>
    </w:p>
    <w:p w:rsidR="00010BE5" w:rsidRDefault="00010BE5" w:rsidP="00010BE5">
      <w:pPr>
        <w:jc w:val="center"/>
        <w:rPr>
          <w:rFonts w:ascii="Arial" w:hAnsi="Arial" w:cs="Arial"/>
          <w:b/>
          <w:bCs/>
          <w:i/>
          <w:iCs/>
          <w:color w:val="7030A0"/>
          <w:spacing w:val="10"/>
          <w:sz w:val="44"/>
          <w:szCs w:val="44"/>
          <w:u w:val="single"/>
        </w:rPr>
      </w:pPr>
      <w:r w:rsidRPr="00010BE5">
        <w:rPr>
          <w:rFonts w:ascii="Arial" w:hAnsi="Arial" w:cs="Arial"/>
          <w:b/>
          <w:bCs/>
          <w:i/>
          <w:iCs/>
          <w:color w:val="7030A0"/>
          <w:spacing w:val="10"/>
          <w:sz w:val="44"/>
          <w:szCs w:val="44"/>
          <w:u w:val="single"/>
        </w:rPr>
        <w:t>3GPP</w:t>
      </w:r>
    </w:p>
    <w:p w:rsidR="00010BE5" w:rsidRDefault="00010BE5" w:rsidP="00010BE5">
      <w:pPr>
        <w:rPr>
          <w:rFonts w:ascii="Arial" w:hAnsi="Arial" w:cs="Arial"/>
          <w:color w:val="000000"/>
          <w:spacing w:val="10"/>
          <w:sz w:val="28"/>
          <w:szCs w:val="28"/>
          <w:lang w:val="en-GB"/>
        </w:rPr>
      </w:pPr>
      <w:r w:rsidRPr="00010BE5">
        <w:rPr>
          <w:rFonts w:ascii="Arial" w:hAnsi="Arial" w:cs="Arial"/>
          <w:color w:val="000000"/>
          <w:spacing w:val="10"/>
          <w:sz w:val="28"/>
          <w:szCs w:val="28"/>
          <w:lang w:val="en-GB"/>
        </w:rPr>
        <w:t>The 3GPP established in December 1998 was initially aimed to formulate and implement global 3G mobile communications system specifications within the scope of the ITU's IMT-2000, hence the name 3rd Generation Partnership Project. Currently, the seven 3GPP organizational partners are from China, Europe, the US, Japan, South Korea, and India, including:</w:t>
      </w: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r>
        <w:rPr>
          <w:rStyle w:val="y2iqfc"/>
          <w:rFonts w:ascii="inherit" w:hAnsi="inherit"/>
          <w:color w:val="202124"/>
          <w:sz w:val="34"/>
          <w:szCs w:val="34"/>
        </w:rPr>
        <w:t>Le 3GPP est essentiellement une alliance mondiale de l'industrie des communications sans fil. Il vise à formuler des spécifications techniques et des normes plus détaillées sur la base des exigences proposées par l'UIT pour unifier les spécifications de l'industrie des communications sans fil.</w:t>
      </w: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r>
        <w:rPr>
          <w:rStyle w:val="y2iqfc"/>
          <w:rFonts w:ascii="inherit" w:hAnsi="inherit"/>
          <w:color w:val="202124"/>
          <w:sz w:val="34"/>
          <w:szCs w:val="34"/>
        </w:rPr>
        <w:t>Dans la structure organisationnelle du 3GPP, le groupe de coordination de projet (PCG) est responsable de la coordination globale, telle que la supervision du calendrier et de l'affectation des tâches des organisations 3GPP, tandis que les groupes de spécifications techniques (TSG) dominent le travail technique.</w:t>
      </w: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r>
        <w:rPr>
          <w:rStyle w:val="y2iqfc"/>
          <w:rFonts w:ascii="inherit" w:hAnsi="inherit"/>
          <w:color w:val="202124"/>
          <w:sz w:val="34"/>
          <w:szCs w:val="34"/>
        </w:rPr>
        <w:t>Le 3GPP se compose de trois TSG :</w:t>
      </w: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r>
        <w:rPr>
          <w:rStyle w:val="y2iqfc"/>
          <w:rFonts w:ascii="inherit" w:hAnsi="inherit"/>
          <w:color w:val="202124"/>
          <w:sz w:val="34"/>
          <w:szCs w:val="34"/>
        </w:rPr>
        <w:t>Réseau d'accès radio TSG (TSG-RAN): est responsable des fonctions, des exigences et des interfaces associées au réseau d'accès radio.</w:t>
      </w: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r>
        <w:rPr>
          <w:rStyle w:val="y2iqfc"/>
          <w:rFonts w:ascii="inherit" w:hAnsi="inherit"/>
          <w:color w:val="202124"/>
          <w:sz w:val="34"/>
          <w:szCs w:val="34"/>
        </w:rPr>
        <w:t>TSG Service and System Aspects (TSG SA): entreprend les travaux de système et de service.</w:t>
      </w: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r>
        <w:rPr>
          <w:rStyle w:val="y2iqfc"/>
          <w:rFonts w:ascii="inherit" w:hAnsi="inherit"/>
          <w:color w:val="202124"/>
          <w:sz w:val="34"/>
          <w:szCs w:val="34"/>
        </w:rPr>
        <w:t xml:space="preserve">TSG </w:t>
      </w:r>
      <w:proofErr w:type="spellStart"/>
      <w:r>
        <w:rPr>
          <w:rStyle w:val="y2iqfc"/>
          <w:rFonts w:ascii="inherit" w:hAnsi="inherit"/>
          <w:color w:val="202124"/>
          <w:sz w:val="34"/>
          <w:szCs w:val="34"/>
        </w:rPr>
        <w:t>Core</w:t>
      </w:r>
      <w:proofErr w:type="spellEnd"/>
      <w:r>
        <w:rPr>
          <w:rStyle w:val="y2iqfc"/>
          <w:rFonts w:ascii="inherit" w:hAnsi="inherit"/>
          <w:color w:val="202124"/>
          <w:sz w:val="34"/>
          <w:szCs w:val="34"/>
        </w:rPr>
        <w:t xml:space="preserve"> and </w:t>
      </w:r>
      <w:proofErr w:type="spellStart"/>
      <w:r>
        <w:rPr>
          <w:rStyle w:val="y2iqfc"/>
          <w:rFonts w:ascii="inherit" w:hAnsi="inherit"/>
          <w:color w:val="202124"/>
          <w:sz w:val="34"/>
          <w:szCs w:val="34"/>
        </w:rPr>
        <w:t>Terminals</w:t>
      </w:r>
      <w:proofErr w:type="spellEnd"/>
      <w:r>
        <w:rPr>
          <w:rStyle w:val="y2iqfc"/>
          <w:rFonts w:ascii="inherit" w:hAnsi="inherit"/>
          <w:color w:val="202124"/>
          <w:sz w:val="34"/>
          <w:szCs w:val="34"/>
        </w:rPr>
        <w:t xml:space="preserve"> (TSG CT) : englobe les travaux pour les réseaux centraux et les terminaux.</w:t>
      </w:r>
    </w:p>
    <w:p w:rsidR="00010BE5" w:rsidRDefault="00010BE5" w:rsidP="00010BE5">
      <w:pPr>
        <w:pStyle w:val="PrformatHTML"/>
        <w:shd w:val="clear" w:color="auto" w:fill="F8F9FA"/>
        <w:spacing w:line="439" w:lineRule="atLeast"/>
        <w:jc w:val="both"/>
        <w:rPr>
          <w:rStyle w:val="y2iqfc"/>
          <w:rFonts w:ascii="inherit" w:hAnsi="inherit"/>
          <w:color w:val="202124"/>
          <w:sz w:val="34"/>
          <w:szCs w:val="34"/>
        </w:rPr>
      </w:pPr>
      <w:r>
        <w:rPr>
          <w:rStyle w:val="y2iqfc"/>
          <w:rFonts w:ascii="inherit" w:hAnsi="inherit"/>
          <w:color w:val="202124"/>
          <w:sz w:val="34"/>
          <w:szCs w:val="34"/>
        </w:rPr>
        <w:lastRenderedPageBreak/>
        <w:t>Chaque TSG est ensuite divisé en plusieurs groupes de travail, chaque groupe de travail s'occupant de tâches spécifiques.</w:t>
      </w:r>
    </w:p>
    <w:p w:rsidR="001F6C36" w:rsidRDefault="001F6C36" w:rsidP="00010BE5">
      <w:pPr>
        <w:pStyle w:val="PrformatHTML"/>
        <w:shd w:val="clear" w:color="auto" w:fill="F8F9FA"/>
        <w:spacing w:line="439" w:lineRule="atLeast"/>
        <w:jc w:val="both"/>
        <w:rPr>
          <w:rStyle w:val="y2iqfc"/>
          <w:rFonts w:ascii="inherit" w:hAnsi="inherit"/>
          <w:color w:val="202124"/>
          <w:sz w:val="34"/>
          <w:szCs w:val="34"/>
        </w:rPr>
      </w:pPr>
    </w:p>
    <w:p w:rsidR="001F6C36" w:rsidRDefault="001F6C36" w:rsidP="001F6C36">
      <w:pPr>
        <w:pStyle w:val="PrformatHTML"/>
        <w:shd w:val="clear" w:color="auto" w:fill="F8F9FA"/>
        <w:spacing w:line="439" w:lineRule="atLeast"/>
        <w:rPr>
          <w:rFonts w:ascii="inherit" w:hAnsi="inherit"/>
          <w:color w:val="202124"/>
          <w:sz w:val="34"/>
          <w:szCs w:val="34"/>
        </w:rPr>
      </w:pPr>
      <w:r>
        <w:rPr>
          <w:rStyle w:val="y2iqfc"/>
          <w:rFonts w:ascii="inherit" w:hAnsi="inherit"/>
          <w:color w:val="202124"/>
          <w:sz w:val="34"/>
          <w:szCs w:val="34"/>
        </w:rPr>
        <w:t>La structure organisationnelle du 3GPP ne reste pas toujours inchangée, mais sera adaptée à l'évolution des technologies. L'ajustement le plus récent a eu lieu en juillet 2020</w:t>
      </w:r>
    </w:p>
    <w:p w:rsidR="001F6C36" w:rsidRDefault="001F6C36" w:rsidP="00010BE5">
      <w:pPr>
        <w:pStyle w:val="PrformatHTML"/>
        <w:shd w:val="clear" w:color="auto" w:fill="F8F9FA"/>
        <w:spacing w:line="439" w:lineRule="atLeast"/>
        <w:jc w:val="both"/>
        <w:rPr>
          <w:rFonts w:ascii="inherit" w:hAnsi="inherit"/>
          <w:color w:val="202124"/>
          <w:sz w:val="34"/>
          <w:szCs w:val="34"/>
        </w:rPr>
      </w:pPr>
    </w:p>
    <w:p w:rsidR="00010BE5" w:rsidRPr="00010BE5" w:rsidRDefault="00010BE5" w:rsidP="00010BE5">
      <w:pPr>
        <w:rPr>
          <w:rFonts w:ascii="Arial" w:hAnsi="Arial" w:cs="Arial"/>
          <w:b/>
          <w:bCs/>
          <w:i/>
          <w:iCs/>
          <w:color w:val="7030A0"/>
          <w:spacing w:val="10"/>
          <w:sz w:val="28"/>
          <w:szCs w:val="28"/>
          <w:u w:val="single"/>
        </w:rPr>
      </w:pPr>
    </w:p>
    <w:p w:rsidR="00010BE5" w:rsidRPr="00010BE5" w:rsidRDefault="00010BE5" w:rsidP="00010BE5">
      <w:pPr>
        <w:jc w:val="center"/>
        <w:rPr>
          <w:rFonts w:ascii="Arial" w:hAnsi="Arial" w:cs="Arial"/>
          <w:b/>
          <w:bCs/>
          <w:i/>
          <w:iCs/>
          <w:color w:val="7030A0"/>
          <w:spacing w:val="10"/>
          <w:sz w:val="40"/>
          <w:szCs w:val="40"/>
          <w:u w:val="single"/>
        </w:rPr>
      </w:pPr>
    </w:p>
    <w:p w:rsidR="00010BE5" w:rsidRPr="00010BE5" w:rsidRDefault="00010BE5" w:rsidP="00010BE5">
      <w:pPr>
        <w:jc w:val="center"/>
        <w:rPr>
          <w:rFonts w:ascii="Arial" w:hAnsi="Arial" w:cs="Arial"/>
          <w:b/>
          <w:bCs/>
          <w:i/>
          <w:iCs/>
          <w:color w:val="7030A0"/>
          <w:spacing w:val="10"/>
          <w:sz w:val="40"/>
          <w:szCs w:val="40"/>
          <w:u w:val="single"/>
        </w:rPr>
      </w:pPr>
    </w:p>
    <w:p w:rsidR="00010BE5" w:rsidRPr="00010BE5" w:rsidRDefault="00010BE5" w:rsidP="00010BE5">
      <w:pPr>
        <w:jc w:val="center"/>
        <w:rPr>
          <w:rFonts w:ascii="Arial" w:hAnsi="Arial" w:cs="Arial"/>
          <w:b/>
          <w:bCs/>
          <w:i/>
          <w:iCs/>
          <w:color w:val="7030A0"/>
          <w:spacing w:val="10"/>
          <w:sz w:val="40"/>
          <w:szCs w:val="40"/>
          <w:u w:val="single"/>
        </w:rPr>
      </w:pPr>
    </w:p>
    <w:p w:rsidR="00010BE5" w:rsidRPr="00010BE5" w:rsidRDefault="00010BE5" w:rsidP="00010BE5">
      <w:pPr>
        <w:jc w:val="center"/>
        <w:rPr>
          <w:b/>
          <w:bCs/>
          <w:i/>
          <w:iCs/>
          <w:color w:val="7030A0"/>
          <w:sz w:val="40"/>
          <w:szCs w:val="40"/>
          <w:u w:val="single"/>
        </w:rPr>
      </w:pPr>
    </w:p>
    <w:sectPr w:rsidR="00010BE5" w:rsidRPr="00010BE5" w:rsidSect="00CF0A2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08"/>
  <w:hyphenationZone w:val="425"/>
  <w:characterSpacingControl w:val="doNotCompress"/>
  <w:compat/>
  <w:rsids>
    <w:rsidRoot w:val="00010BE5"/>
    <w:rsid w:val="00010BE5"/>
    <w:rsid w:val="001F6C36"/>
    <w:rsid w:val="00A8245E"/>
    <w:rsid w:val="00CB0576"/>
    <w:rsid w:val="00CF0A2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A2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rformatHTML">
    <w:name w:val="HTML Preformatted"/>
    <w:basedOn w:val="Normal"/>
    <w:link w:val="PrformatHTMLCar"/>
    <w:uiPriority w:val="99"/>
    <w:semiHidden/>
    <w:unhideWhenUsed/>
    <w:rsid w:val="00010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10BE5"/>
    <w:rPr>
      <w:rFonts w:ascii="Courier New" w:eastAsia="Times New Roman" w:hAnsi="Courier New" w:cs="Courier New"/>
      <w:sz w:val="20"/>
      <w:szCs w:val="20"/>
      <w:lang w:eastAsia="fr-FR"/>
    </w:rPr>
  </w:style>
  <w:style w:type="character" w:customStyle="1" w:styleId="y2iqfc">
    <w:name w:val="y2iqfc"/>
    <w:basedOn w:val="Policepardfaut"/>
    <w:rsid w:val="00010BE5"/>
  </w:style>
</w:styles>
</file>

<file path=word/webSettings.xml><?xml version="1.0" encoding="utf-8"?>
<w:webSettings xmlns:r="http://schemas.openxmlformats.org/officeDocument/2006/relationships" xmlns:w="http://schemas.openxmlformats.org/wordprocessingml/2006/main">
  <w:divs>
    <w:div w:id="213588681">
      <w:bodyDiv w:val="1"/>
      <w:marLeft w:val="0"/>
      <w:marRight w:val="0"/>
      <w:marTop w:val="0"/>
      <w:marBottom w:val="0"/>
      <w:divBdr>
        <w:top w:val="none" w:sz="0" w:space="0" w:color="auto"/>
        <w:left w:val="none" w:sz="0" w:space="0" w:color="auto"/>
        <w:bottom w:val="none" w:sz="0" w:space="0" w:color="auto"/>
        <w:right w:val="none" w:sz="0" w:space="0" w:color="auto"/>
      </w:divBdr>
    </w:div>
    <w:div w:id="245573525">
      <w:bodyDiv w:val="1"/>
      <w:marLeft w:val="0"/>
      <w:marRight w:val="0"/>
      <w:marTop w:val="0"/>
      <w:marBottom w:val="0"/>
      <w:divBdr>
        <w:top w:val="none" w:sz="0" w:space="0" w:color="auto"/>
        <w:left w:val="none" w:sz="0" w:space="0" w:color="auto"/>
        <w:bottom w:val="none" w:sz="0" w:space="0" w:color="auto"/>
        <w:right w:val="none" w:sz="0" w:space="0" w:color="auto"/>
      </w:divBdr>
    </w:div>
    <w:div w:id="513154006">
      <w:bodyDiv w:val="1"/>
      <w:marLeft w:val="0"/>
      <w:marRight w:val="0"/>
      <w:marTop w:val="0"/>
      <w:marBottom w:val="0"/>
      <w:divBdr>
        <w:top w:val="none" w:sz="0" w:space="0" w:color="auto"/>
        <w:left w:val="none" w:sz="0" w:space="0" w:color="auto"/>
        <w:bottom w:val="none" w:sz="0" w:space="0" w:color="auto"/>
        <w:right w:val="none" w:sz="0" w:space="0" w:color="auto"/>
      </w:divBdr>
    </w:div>
    <w:div w:id="873150673">
      <w:bodyDiv w:val="1"/>
      <w:marLeft w:val="0"/>
      <w:marRight w:val="0"/>
      <w:marTop w:val="0"/>
      <w:marBottom w:val="0"/>
      <w:divBdr>
        <w:top w:val="none" w:sz="0" w:space="0" w:color="auto"/>
        <w:left w:val="none" w:sz="0" w:space="0" w:color="auto"/>
        <w:bottom w:val="none" w:sz="0" w:space="0" w:color="auto"/>
        <w:right w:val="none" w:sz="0" w:space="0" w:color="auto"/>
      </w:divBdr>
    </w:div>
    <w:div w:id="139808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9869</TotalTime>
  <Pages>4</Pages>
  <Words>570</Words>
  <Characters>3139</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2023-04-27T13:51:00Z</dcterms:created>
  <dcterms:modified xsi:type="dcterms:W3CDTF">2023-05-25T14:34:00Z</dcterms:modified>
</cp:coreProperties>
</file>