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60"/>
      </w:pPr>
      <w:r>
        <w:rPr>
          <w:rFonts w:ascii="Calibri" w:hAnsi="Calibri" w:eastAsia="Microsoft YaHei"/>
          <w:b/>
          <w:color w:val="111827"/>
          <w:sz w:val="34"/>
        </w:rPr>
        <w:t>流程图 1：RTD 候选筛选与 Pilot 选择</w:t>
      </w:r>
    </w:p>
    <w:p>
      <w:pPr>
        <w:keepNext/>
        <w:spacing w:after="60"/>
      </w:pPr>
      <w:r>
        <w:rPr>
          <w:rFonts w:ascii="Calibri" w:hAnsi="Calibri" w:eastAsia="Microsoft YaHei"/>
          <w:color w:val="111827"/>
          <w:sz w:val="19"/>
        </w:rPr>
        <w:t>展示 Lot 获取、基础条件过滤、候选排序与 Pilot 选定的完整判断链路。</w:t>
      </w:r>
    </w:p>
    <w:p>
      <w:pPr>
        <w:pStyle w:val="FigureCaption"/>
        <w:keepNext/>
      </w:pPr>
      <w:r>
        <w:t>复杂逻辑流程图（按最终确认规则整理）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6560820"/>
            <wp:docPr id="1" name="Picture 1" descr="流程图 1：RTD 候选筛选与 Pilot 选择。展示 Lot 获取、基础条件过滤、候选排序与 Pilot 选定的完整判断链路。" title="复杂逻辑流程图（按最终确认规则整理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td-selec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6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 w:eastAsia="Microsoft YaHei"/>
          <w:b/>
          <w:color w:val="111827"/>
          <w:sz w:val="34"/>
        </w:rPr>
        <w:t>流程图 2：Pilot 整批与物理分批判断</w:t>
      </w:r>
    </w:p>
    <w:p>
      <w:pPr>
        <w:keepNext/>
        <w:spacing w:after="60"/>
      </w:pPr>
      <w:r>
        <w:rPr>
          <w:rFonts w:ascii="Calibri" w:hAnsi="Calibri" w:eastAsia="Microsoft YaHei"/>
          <w:color w:val="111827"/>
          <w:sz w:val="19"/>
        </w:rPr>
        <w:t>展示整批条件、分批数量配置校验、Wafer 排序、FOUP 预留及失败回退逻辑。</w:t>
      </w:r>
    </w:p>
    <w:p>
      <w:pPr>
        <w:pStyle w:val="FigureCaption"/>
        <w:keepNext/>
      </w:pPr>
      <w:r>
        <w:t>复杂逻辑流程图（按最终确认规则整理）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6560820"/>
            <wp:docPr id="2" name="Picture 2" descr="流程图 2：Pilot 整批与物理分批判断。展示整批条件、分批数量配置校验、Wafer 排序、FOUP 预留及失败回退逻辑。" title="复杂逻辑流程图（按最终确认规则整理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ilot-spl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6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 w:eastAsia="Microsoft YaHei"/>
          <w:b/>
          <w:color w:val="111827"/>
          <w:sz w:val="34"/>
        </w:rPr>
        <w:t>流程图 3：WaitPilotChangeFOUP 卡控</w:t>
      </w:r>
    </w:p>
    <w:p>
      <w:pPr>
        <w:keepNext/>
        <w:spacing w:after="60"/>
      </w:pPr>
      <w:r>
        <w:rPr>
          <w:rFonts w:ascii="Calibri" w:hAnsi="Calibri" w:eastAsia="Microsoft YaHei"/>
          <w:color w:val="111827"/>
          <w:sz w:val="19"/>
        </w:rPr>
        <w:t>展示 Litho、BARCO 与其他站点在不同 Queue Time 状态下的卡控差异。</w:t>
      </w:r>
    </w:p>
    <w:p>
      <w:pPr>
        <w:pStyle w:val="FigureCaption"/>
        <w:keepNext/>
      </w:pPr>
      <w:r>
        <w:t>复杂逻辑流程图（按最终确认规则整理）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6560820"/>
            <wp:docPr id="3" name="Picture 3" descr="流程图 3：WaitPilotChangeFOUP 卡控。展示 Litho、BARCO 与其他站点在不同 Queue Time 状态下的卡控差异。" title="复杂逻辑流程图（按最终确认规则整理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wait-pilot-contro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60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before="0" w:after="60"/>
      </w:pPr>
      <w:r>
        <w:rPr>
          <w:rFonts w:ascii="Calibri" w:hAnsi="Calibri" w:eastAsia="Microsoft YaHei"/>
          <w:b/>
          <w:color w:val="111827"/>
          <w:sz w:val="34"/>
        </w:rPr>
        <w:t>流程图 4：AMA 物理分批与回退</w:t>
      </w:r>
    </w:p>
    <w:p>
      <w:pPr>
        <w:keepNext/>
        <w:spacing w:after="60"/>
      </w:pPr>
      <w:r>
        <w:rPr>
          <w:rFonts w:ascii="Calibri" w:hAnsi="Calibri" w:eastAsia="Microsoft YaHei"/>
          <w:color w:val="111827"/>
          <w:sz w:val="19"/>
        </w:rPr>
        <w:t>展示分批前置校验、Transfer FOUP、物理分批执行与异常回退处理。</w:t>
      </w:r>
    </w:p>
    <w:p>
      <w:pPr>
        <w:pStyle w:val="FigureCaption"/>
        <w:keepNext/>
      </w:pPr>
      <w:r>
        <w:t>复杂逻辑流程图（按最终确认规则整理）</w:t>
      </w:r>
    </w:p>
    <w:p>
      <w:pPr>
        <w:keepLines/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623560" cy="6560820"/>
            <wp:docPr id="4" name="Picture 4" descr="流程图 4：AMA 物理分批与回退。展示分批前置校验、Transfer FOUP、物理分批执行与异常回退处理。" title="复杂逻辑流程图（按最终确认规则整理）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ama-spl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65608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111827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11182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0"/>
      <w:jc w:val="left"/>
    </w:pPr>
    <w:r>
      <w:rPr>
        <w:rFonts w:ascii="Calibri" w:hAnsi="Calibri" w:eastAsia="Microsoft YaHei"/>
        <w:b/>
        <w:color w:val="111827"/>
        <w:sz w:val="17"/>
      </w:rPr>
      <w:t>LithoAutoPiRun 复杂逻辑流程图</w:t>
    </w:r>
    <w:r>
      <w:rPr>
        <w:rFonts w:ascii="Calibri" w:hAnsi="Calibri" w:eastAsia="Microsoft YaHei"/>
        <w:color w:val="111827"/>
        <w:sz w:val="17"/>
      </w:rPr>
      <w:tab/>
      <w:t>独立交付版 | 2026-07-24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0B254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59" w:right="144"/>
      <w:shd w:fill="F4F6F9"/>
    </w:pPr>
    <w:rPr>
      <w:rFonts w:ascii="Consolas" w:hAnsi="Consolas" w:eastAsia="Microsoft YaHei"/>
      <w:color w:val="0B2545"/>
      <w:sz w:val="18"/>
    </w:rPr>
  </w:style>
  <w:style w:type="paragraph" w:customStyle="1" w:styleId="FigureCaption">
    <w:name w:val="Figure Caption"/>
    <w:pPr>
      <w:keepNext/>
      <w:spacing w:before="160" w:after="100"/>
      <w:jc w:val="center"/>
    </w:pPr>
    <w:rPr>
      <w:rFonts w:ascii="Calibri" w:hAnsi="Calibri" w:eastAsia="Microsoft YaHei"/>
      <w:b/>
      <w:color w:val="667085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