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80"/>
        <w:jc w:val="center"/>
      </w:pPr>
      <w:r>
        <w:rPr>
          <w:rFonts w:ascii="Microsoft YaHei" w:hAnsi="Microsoft YaHei" w:eastAsia="Microsoft YaHei" w:cs="Microsoft YaHei"/>
          <w:b/>
          <w:color w:val="1F6D7A"/>
          <w:sz w:val="24"/>
        </w:rPr>
        <w:t>AMA · CMP R2R</w:t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b/>
          <w:color w:val="17365D"/>
          <w:sz w:val="60"/>
        </w:rPr>
        <w:t>CMPAutoPirun</w:t>
      </w:r>
    </w:p>
    <w:p>
      <w:pPr>
        <w:spacing w:after="32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34"/>
        </w:rPr>
        <w:t>CMP R2R Pi-Run Lot 自动分批</w:t>
      </w:r>
    </w:p>
    <w:p>
      <w:pPr>
        <w:spacing w:after="1080"/>
        <w:jc w:val="center"/>
        <w:pBdr>
          <w:top w:val="single" w:sz="18" w:space="10" w:color="1F6D7A"/>
          <w:bottom w:val="single" w:sz="18" w:space="10" w:color="1F6D7A"/>
        </w:pBdr>
      </w:pPr>
      <w:r>
        <w:rPr>
          <w:rFonts w:ascii="Microsoft YaHei" w:hAnsi="Microsoft YaHei" w:eastAsia="Microsoft YaHei" w:cs="Microsoft YaHei"/>
          <w:b/>
          <w:color w:val="1F2937"/>
          <w:sz w:val="30"/>
        </w:rPr>
        <w:t>详细设计说明书</w:t>
      </w:r>
    </w:p>
    <w:tbl>
      <w:tblPr>
        <w:tblW w:type="dxa" w:w="7400"/>
        <w:tblLayout w:type="fixed"/>
        <w:tblLook w:firstColumn="1" w:firstRow="1" w:lastColumn="0" w:lastRow="0" w:noHBand="0" w:noVBand="1" w:val="04A0"/>
        <w:jc w:val="center"/>
        <w:tblInd w:w="980" w:type="dxa"/>
      </w:tblPr>
      <w:tblGrid>
        <w:gridCol w:w="2400"/>
        <w:gridCol w:w="5000"/>
      </w:tblGrid>
      <w:tr>
        <w:tc>
          <w:tcPr>
            <w:tcW w:type="dxa" w:w="24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5B6573"/>
                <w:sz w:val="19"/>
              </w:rPr>
              <w:t>文档编号</w:t>
            </w:r>
          </w:p>
        </w:tc>
        <w:tc>
          <w:tcPr>
            <w:tcW w:type="dxa" w:w="50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9"/>
              </w:rPr>
              <w:t>AMA-DDS-CMP-AP-001</w:t>
            </w:r>
          </w:p>
        </w:tc>
      </w:tr>
      <w:tr>
        <w:tc>
          <w:tcPr>
            <w:tcW w:type="dxa" w:w="24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5B6573"/>
                <w:sz w:val="19"/>
              </w:rPr>
              <w:t>版本</w:t>
            </w:r>
          </w:p>
        </w:tc>
        <w:tc>
          <w:tcPr>
            <w:tcW w:type="dxa" w:w="50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9"/>
              </w:rPr>
              <w:t>V1.0</w:t>
            </w:r>
          </w:p>
        </w:tc>
      </w:tr>
      <w:tr>
        <w:tc>
          <w:tcPr>
            <w:tcW w:type="dxa" w:w="24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5B6573"/>
                <w:sz w:val="19"/>
              </w:rPr>
              <w:t>状态</w:t>
            </w:r>
          </w:p>
        </w:tc>
        <w:tc>
          <w:tcPr>
            <w:tcW w:type="dxa" w:w="50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c>
          <w:tcPr>
            <w:tcW w:type="dxa" w:w="24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5B6573"/>
                <w:sz w:val="19"/>
              </w:rPr>
              <w:t>编制日期</w:t>
            </w:r>
          </w:p>
        </w:tc>
        <w:tc>
          <w:tcPr>
            <w:tcW w:type="dxa" w:w="50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9"/>
              </w:rPr>
              <w:t>2026-07-10</w:t>
            </w:r>
          </w:p>
        </w:tc>
      </w:tr>
      <w:tr>
        <w:tc>
          <w:tcPr>
            <w:tcW w:type="dxa" w:w="24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 w:cs="Microsoft YaHei"/>
                <w:b/>
                <w:color w:val="5B6573"/>
                <w:sz w:val="19"/>
              </w:rPr>
              <w:t>保密级别</w:t>
            </w:r>
          </w:p>
        </w:tc>
        <w:tc>
          <w:tcPr>
            <w:tcW w:type="dxa" w:w="5000"/>
            <w:tcMar>
              <w:top w:w="90" w:type="dxa"/>
              <w:start w:w="80" w:type="dxa"/>
              <w:bottom w:w="90" w:type="dxa"/>
              <w:end w:w="80" w:type="dxa"/>
            </w:tcMar>
            <w:tcBorders>
              <w:top w:val="nil"/>
              <w:start w:val="nil"/>
              <w:bottom w:val="single" w:sz="6" w:color="C9D2DE"/>
              <w:end w:val="nil"/>
            </w:tcBorders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9"/>
              </w:rPr>
              <w:t>Confidential II / 商密二级</w:t>
            </w:r>
          </w:p>
        </w:tc>
      </w:tr>
    </w:tbl>
    <w:p>
      <w:pPr>
        <w:spacing w:before="72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依据需求单、测试用例与现有技术文档截图整理</w:t>
      </w:r>
    </w:p>
    <w:p>
      <w:r>
        <w:br w:type="page"/>
      </w:r>
    </w:p>
    <w:p>
      <w:pPr>
        <w:pStyle w:val="Heading1"/>
        <w:keepNext/>
      </w:pPr>
      <w:r>
        <w:t>版本历史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1100"/>
        <w:gridCol w:w="4360"/>
        <w:gridCol w:w="1500"/>
      </w:tblGrid>
      <w:tr>
        <w:trPr>
          <w:cantSplit w:val="true"/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版本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日期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状态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变更说明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编制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2026-07-10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评审稿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基于技术文档、需求单、PPT 与测试用例截图形成首版详细设计。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cantSplit w:val="true"/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文档用途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用于 CMPAutoPirun 功能评审、开发实现、测试验收与运维交接。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适用对象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AMA / R2R 开发、CMP 工艺、测试、运维及系统接口负责人。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信息来源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技术文档1-4.jpg、需求单1-5.jpg、Testcase1-2.jpg、PPT.jpg。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保留原则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截图中可辨识的参数名、表名与业务术语按原文保留；无法确认的实现细节统一列入“待确认事项”。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6F7"/>
            <w:tcBorders>
              <w:top w:val="nil"/>
              <w:start w:val="single" w:sz="24" w:color="1F6D7A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1F6D7A"/>
                <w:sz w:val="20"/>
              </w:rPr>
              <w:t xml:space="preserve">阅读提示  </w:t>
            </w:r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本文将截图中的分散规则统一为可执行的决策链。带“待确认”的内容不应直接作为生产配置，应在设计评审后关闭。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60"/>
      </w:pPr>
      <w:r>
        <w:rPr>
          <w:rFonts w:ascii="Microsoft YaHei" w:hAnsi="Microsoft YaHei" w:eastAsia="Microsoft YaHei" w:cs="Microsoft YaHei"/>
          <w:b/>
          <w:color w:val="17365D"/>
          <w:sz w:val="40"/>
        </w:rPr>
        <w:t>目录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版本历史</w:t>
        <w:tab/>
        <w:t>2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文档说明</w:t>
        <w:tab/>
        <w:t>4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业务需求</w:t>
        <w:tab/>
        <w:t>4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总体设计</w:t>
        <w:tab/>
        <w:t>5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配置设计</w:t>
        <w:tab/>
        <w:t>6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数据与接口设计</w:t>
        <w:tab/>
        <w:t>8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核心算法设计</w:t>
        <w:tab/>
        <w:t>9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调度、事务与异常处理</w:t>
        <w:tab/>
        <w:t>11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日志、监控与安全</w:t>
        <w:tab/>
        <w:t>12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测试与验收</w:t>
        <w:tab/>
        <w:t>13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上线与回退</w:t>
        <w:tab/>
        <w:t>14</w:t>
      </w:r>
    </w:p>
    <w:p>
      <w:pPr>
        <w:tabs>
          <w:tab w:pos="9000" w:val="right" w:leader="dot"/>
        </w:tabs>
        <w:spacing w:before="0" w:after="60"/>
        <w:ind w:left="403"/>
      </w:pPr>
      <w:r>
        <w:rPr>
          <w:rFonts w:ascii="Microsoft YaHei" w:hAnsi="Microsoft YaHei" w:eastAsia="Microsoft YaHei" w:cs="Microsoft YaHei"/>
          <w:b w:val="0"/>
          <w:color w:val="1F2937"/>
          <w:sz w:val="19"/>
        </w:rPr>
        <w:t>待确认事项</w:t>
        <w:tab/>
        <w:t>14</w:t>
      </w:r>
    </w:p>
    <w:p>
      <w:pPr>
        <w:tabs>
          <w:tab w:pos="9000" w:val="right" w:leader="dot"/>
        </w:tabs>
        <w:spacing w:before="0" w:after="100"/>
        <w:ind w:left="0"/>
      </w:pPr>
      <w:r>
        <w:rPr>
          <w:rFonts w:ascii="Microsoft YaHei" w:hAnsi="Microsoft YaHei" w:eastAsia="Microsoft YaHei" w:cs="Microsoft YaHei"/>
          <w:b/>
          <w:color w:val="1F2937"/>
          <w:sz w:val="21"/>
        </w:rPr>
        <w:t>附录：伪代码与来源清单</w:t>
        <w:tab/>
        <w:t>15</w:t>
      </w:r>
    </w:p>
    <w:p>
      <w:r>
        <w:br w:type="page"/>
      </w:r>
    </w:p>
    <w:p>
      <w:pPr>
        <w:pStyle w:val="Heading1"/>
        <w:keepNext/>
      </w:pPr>
      <w:r>
        <w:t>文档说明</w:t>
      </w:r>
    </w:p>
    <w:p>
      <w:pPr>
        <w:pStyle w:val="Heading2"/>
        <w:keepNext/>
      </w:pPr>
      <w:r>
        <w:t>目的</w:t>
      </w:r>
    </w:p>
    <w:p>
      <w:r>
        <w:rPr>
          <w:rFonts w:ascii="Microsoft YaHei" w:hAnsi="Microsoft YaHei" w:eastAsia="Microsoft YaHei" w:cs="Microsoft YaHei"/>
          <w:i w:val="0"/>
          <w:color w:val="1F2937"/>
          <w:sz w:val="21"/>
        </w:rPr>
        <w:t>本文定义 CMPAutoPirun 的业务目标、配置入口、数据依赖、Lot/Pilot/STN 选择算法、机台筛选、子批 Split、R2R 通知、异常补偿及测试验收要求，为实现与评审提供统一基线。</w:t>
      </w:r>
    </w:p>
    <w:p>
      <w:pPr>
        <w:pStyle w:val="Heading2"/>
        <w:keepNext/>
      </w:pPr>
      <w:r>
        <w:t>范围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包含：AMA WatchDog 定时触发、CMP Pi-Run Lot 自动选择、机台分配、物理分批、R2R 信息发送与全链路日志。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包含：Lowwip 兼容逻辑与 Highwip 新增逻辑，以及 Q-time / Lifetime 风险优先策略。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不包含：CMPAssign 原有调度算法重构、R2R 内部派工策略、设备控制器本体改造。</w:t>
      </w:r>
    </w:p>
    <w:p>
      <w:pPr>
        <w:pStyle w:val="Heading2"/>
        <w:keepNext/>
      </w:pPr>
      <w:r>
        <w:t>术语与缩写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cantSplit w:val="true"/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术语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Pi-Run / Pirun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CMP 机台在正式生产前执行的先导/试跑作业。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Lot / 子批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生产批次及由物理 Split 产生的子批。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Pilot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被选为 Pi-Run 的 Lot 或其分批子批。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STN / Side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Lot 可运行的机台边或站点标识。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selfcapability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机台能力分组，用于 Lot 与可运行机台匹配。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Q-time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工序时间窗约束；超时或接近超时会产生风险。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Lifetime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Pad/耗材等寿命计数约束。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needpirunflag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Pi-Run 需求标识：0=不需要，1=宽度/高 WIP 需求，2=Q-time 或 Lifetime 风险。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业务需求</w:t>
      </w:r>
    </w:p>
    <w:p>
      <w:pPr>
        <w:pStyle w:val="Heading2"/>
        <w:keepNext/>
      </w:pPr>
      <w:r>
        <w:t>背景</w:t>
      </w:r>
    </w:p>
    <w:p>
      <w:r>
        <w:rPr>
          <w:rFonts w:ascii="Microsoft YaHei" w:hAnsi="Microsoft YaHei" w:eastAsia="Microsoft YaHei" w:cs="Microsoft YaHei"/>
          <w:i w:val="0"/>
          <w:color w:val="1F2937"/>
          <w:sz w:val="21"/>
        </w:rPr>
        <w:t>CMP 堆货时，PE 手工执行 Pi-Run 效率较低，容易造成 Lot 超过 Q-time。需要由 AMA 根据 Lot 作业条件、机台 loading 与耗材 Lifetime 状态自动选择 Pi-Run Lot 并分批，从而降低人工操作和等待时间。</w:t>
      </w:r>
    </w:p>
    <w:p>
      <w:pPr>
        <w:pStyle w:val="Heading2"/>
        <w:keepNext/>
      </w:pPr>
      <w:r>
        <w:t>业务目标与收益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自动发现需要 Pi-Run 的风险 Lot 与宽度需求 Lot。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将 Lot 分配到 loading 较低且 Lifetime 充足的可运行机台。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自动生成符合配置片数的子批，并把 Pi-Run 信息发送至 R2R。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减少 over Q-time Lot 数量；参考项目材料，目标为机台生产效率提升 3% 以上。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保证每次选择与分批均可追溯、可重放、可审计。</w:t>
      </w:r>
    </w:p>
    <w:p>
      <w:pPr>
        <w:pStyle w:val="Heading2"/>
        <w:keepNext/>
      </w:pPr>
      <w:r>
        <w:t>关键业务约束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 w:val="true"/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约束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设计要求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唯一性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同一轮中每个 Lot 仅可被选择一次；每台机台同一时刻仅分配一个 Pi-Run 子批。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冷却期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Lot 被选中后 1 天内不再参与后续选择；STN 在 pilot 状态解除前不再参与循环。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实时性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候选 Lot 必须基于最新 sysId 结果，并在决策前与实时记录进行 double check。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兼容性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ControlType=Lowwip 沿用原逻辑；ControlType=Highwip 启用新增 Pi-Run 选择逻辑。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安全失败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关键配置缺失、数据不一致或 Split/R2R 调用失败时，不得继续产生新的不可追溯子批。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总体设计</w:t>
      </w:r>
    </w:p>
    <w:p>
      <w:pPr>
        <w:pStyle w:val="Heading2"/>
        <w:keepNext/>
      </w:pPr>
      <w:r>
        <w:t>逻辑架构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61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图 1  CMPAutoPirun 逻辑架构</w:t>
      </w:r>
    </w:p>
    <w:p>
      <w:r>
        <w:rPr>
          <w:rFonts w:ascii="Microsoft YaHei" w:hAnsi="Microsoft YaHei" w:eastAsia="Microsoft YaHei" w:cs="Microsoft YaHei"/>
          <w:i w:val="0"/>
          <w:color w:val="1F2937"/>
          <w:sz w:val="21"/>
        </w:rPr>
        <w:t>AMA WatchDog 负责调度；候选选择器聚合 CMPAssign、R2R 配置、RTDConfig 与机台 Lifetime/Loading 数据；分批执行器完成物理 Split；结果同步给 R2R，并写入审计日志与监控指标。</w:t>
      </w:r>
    </w:p>
    <w:p>
      <w:pPr>
        <w:pStyle w:val="Heading2"/>
        <w:keepNext/>
      </w:pPr>
      <w:r>
        <w:t>主流程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4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color w:val="5B6573"/>
          <w:sz w:val="18"/>
        </w:rPr>
        <w:t>图 2  CMPAutoPirun 主决策流程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9E8"/>
            <w:tcBorders>
              <w:top w:val="nil"/>
              <w:start w:val="single" w:sz="24" w:color="B8860B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B8860B"/>
                <w:sz w:val="20"/>
              </w:rPr>
              <w:t xml:space="preserve">优先级原则  </w:t>
            </w:r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needpirunflag=2 的 Q-time / Lifetime 风险 Lot 高于 needpirunflag=1 的 Highwip 宽度需求 Lot；同优先级内再按 Remaining、loading 与 Lifetime 频度排序。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配置设计</w:t>
      </w:r>
    </w:p>
    <w:p>
      <w:pPr>
        <w:pStyle w:val="Heading2"/>
        <w:keepNext/>
      </w:pPr>
      <w:r>
        <w:t>AMA.TriggerConfig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200"/>
        <w:gridCol w:w="3960"/>
      </w:tblGrid>
      <w:tr>
        <w:trPr>
          <w:cantSplit w:val="true"/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配置项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建议值 / 规则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校验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FunctionName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CMPAutoSplitPirunLot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精确匹配；未配置时不执行。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Switch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Y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仅 Y 启用；其他值按关闭处理。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Trigger Time Slot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00:00-23:59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当前时间必须落在范围内。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Trigger Count/Time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5（分钟）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WatchDog 每 5 分钟触发一次。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  <w:tcBorders>
              <w:top w:val="single" w:sz="8" w:color="C9D2DE"/>
              <w:start w:val="single" w:sz="20" w:color="1F6D7A"/>
              <w:bottom w:val="single" w:sz="8" w:color="C9D2DE"/>
              <w:end w:val="single" w:sz="8" w:color="C9D2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FunctionName = CMPAutoSplitPirunLot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>Switch = Y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>TriggerTimeSlot = 00:00-23:59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>TriggerIntervalMinutes = 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RTD.CMPlowWIP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60"/>
        <w:gridCol w:w="3400"/>
      </w:tblGrid>
      <w:tr>
        <w:trPr>
          <w:cantSplit w:val="true"/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规则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Capability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必填，不支持模糊匹配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能力范围匹配。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SelfCapability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必填，不支持模糊匹配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Pi-Run 分组与机台边匹配。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Ratio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必填，不支持模糊匹配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Highwip LimitWIP 计算。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ControlType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必填；Lowwip / Highwip；不支持模糊匹配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Lowwip 兼容原逻辑，Highwip 启用新增逻辑。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6F7"/>
            <w:tcBorders>
              <w:top w:val="nil"/>
              <w:start w:val="single" w:sz="24" w:color="1F6D7A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1F6D7A"/>
                <w:sz w:val="20"/>
              </w:rPr>
              <w:t xml:space="preserve">兼容策略  </w:t>
            </w:r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历史配置若未显式设置 ControlType，按原需求描述兼容为 Lowwip；正式上线前建议完成配置数据清洗并改为显式值。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R2R 与 Lifetime 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200"/>
        <w:gridCol w:w="3860"/>
      </w:tblGrid>
      <w:tr>
        <w:trPr>
          <w:cantSplit w:val="true"/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配置/数据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R2R tech / prod / stage / count / qty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确定分批数量与工艺匹配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多条 Count 时取最小；按 selfcapability 的 qty 处理。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mergestep / futuremerge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子批回并控制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与所选 Pi-Run Lot 的工艺路径一致。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R2R_IAPC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分批片数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仅当 Lot qty 大于配置片数时允许 Split。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CMPLowWipMachinedouble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特定边 Lifetime 特判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参数名大小写与多值分隔符需在评审中确认。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数据与接口设计</w:t>
      </w:r>
    </w:p>
    <w:p>
      <w:pPr>
        <w:pStyle w:val="Heading2"/>
        <w:keepNext/>
      </w:pPr>
      <w:r>
        <w:t>输入数据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860"/>
        <w:gridCol w:w="3400"/>
      </w:tblGrid>
      <w:tr>
        <w:trPr>
          <w:cantSplit w:val="true"/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来源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关键字段/数据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CMPAssign 最新结果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sysId、Lot 状态、qty、QTimeWorse、LifeTimeWorse、Remaining、selfcapability、assignedstn、reasoncode、totalwip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筛选候选 Lot、实时复核、计算优先级与 loading。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tb_machineselfcapa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tool_name（按 side）、selfcapability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取得机台边与 selfcapability 的对应关系。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R2R 配置表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tech、prod、stage、count、qty、mergestep、futuremerge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计算 Pi-Run 上限、Split 数量与回并信息。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MFGCIM.tb_selfcapa_rule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tech/prod/stage 到 selfcapability 映射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补充 CMPAssign 未返回的 selfcapability。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RTD.CMPlowWIP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Capability、SelfCapability、Ratio、ControlType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确定 Lowwip/Highwip 策略与 LimitWIP。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设备计数数据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equipmentid、chamberid、metertype、current(value)、max_value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评估 Lifetime 风险。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建议输出接口契约（待双方确认）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5560"/>
        <w:gridCol w:w="1500"/>
      </w:tblGrid>
      <w:tr>
        <w:trPr>
          <w:cantSplit w:val="true"/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必填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runId / traceId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本次 WatchDog 运行与链路追踪标识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parentLotId / childLotId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母批与 Pi-Run 子批标识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needPirunFlag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0 / 1 / 2 决策结果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selfCapability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能力分组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targetStn / targetTool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目标机台边与机台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splitQty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子批片数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mergeStep / futureMerge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回并配置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reasonCode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选择原因及 PE Pi-Run 原因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decisionTime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决策时间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是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6F7"/>
            <w:tcBorders>
              <w:top w:val="nil"/>
              <w:start w:val="single" w:sz="24" w:color="1F6D7A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1F6D7A"/>
                <w:sz w:val="20"/>
              </w:rPr>
              <w:t xml:space="preserve">接口原则  </w:t>
            </w:r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接口必须支持幂等键（建议 runId + parentLotId + targetStn）与明确的成功/失败码；R2R 确认前不得把本地状态标记为最终完成。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核心算法设计</w:t>
      </w:r>
    </w:p>
    <w:p>
      <w:pPr>
        <w:pStyle w:val="Heading2"/>
        <w:keepNext/>
      </w:pPr>
      <w:r>
        <w:t>候选 Lot 初筛与实时复核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按 sysId 读取最新 CMPAssign 结果，并取得 Lot 当前状态、数量、Q-time/Lifetime 风险、Remaining 与可运行 STN。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仅保留状态可用且 qty &gt; 5 的 Lot；具体可用状态白名单由 CMPAssign 接口方确认。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在进入决策前对 CMPLotAssignment 记录进行 double check；若记录已变化，放弃缓存并使用实时数据重新计算。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按照 Lot 的 tech/prod/stage 与 R2R 配置匹配 selfcapability、mergestep、qty 与 count；多条 Count 配置取最小值。</w:t>
      </w:r>
    </w:p>
    <w:p>
      <w:pPr>
        <w:pStyle w:val="Heading2"/>
        <w:keepNext/>
      </w:pPr>
      <w:r>
        <w:t>Pi-Run 需求判定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3500"/>
        <w:gridCol w:w="1500"/>
        <w:gridCol w:w="3360"/>
      </w:tblGrid>
      <w:tr>
        <w:trPr>
          <w:cantSplit w:val="true"/>
          <w:tblHeader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优先级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触发条件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needpirunflag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选择规则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QTimeWorse=T 或 LifeTimeWorse=T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风险 Lot 优先；同 selfcapability 内按风险类型与 Remaining 排序。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ControlType=Highwip 且 QWIP &gt; LimitWIP，且原风险逻辑未命中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从对应 selfcapability 的高 loading 场景选择适合 Pi-Run 的 Lot。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以上均不满足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不参与本轮 Pi-Run。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  <w:tcBorders>
              <w:top w:val="single" w:sz="8" w:color="C9D2DE"/>
              <w:start w:val="single" w:sz="20" w:color="1F6D7A"/>
              <w:bottom w:val="single" w:sz="8" w:color="C9D2DE"/>
              <w:end w:val="single" w:sz="8" w:color="C9D2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LimitWIP = SumSideWIP × Min(QTimeLimit) × Ratio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>if QTimeWorse or LifeTimeWorse: needpirunflag = 2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>elif ControlType == 'Highwip' and QWIP &gt; LimitWIP: needpirunflag = 1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>else: needpirunflag = 0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1F1"/>
            <w:tcBorders>
              <w:top w:val="nil"/>
              <w:start w:val="single" w:sz="24" w:color="9B1C1C"/>
              <w:bottom w:val="nil"/>
              <w:end w:val="nil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0"/>
              </w:rPr>
              <w:t xml:space="preserve">待确认  </w:t>
            </w:r>
            <w:r>
              <w:rPr>
                <w:rFonts w:ascii="Microsoft YaHei" w:hAnsi="Microsoft YaHei" w:eastAsia="Microsoft YaHei" w:cs="Microsoft YaHei"/>
                <w:color w:val="1F2937"/>
                <w:sz w:val="19"/>
              </w:rPr>
              <w:t>截图中 Remaining 的空值处理、风险 Lot 的精确排序方向，以及 LimitWIP 公式中各字段单位需由业务与开发共同确认。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Pilot 与机台选择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根据 Lot 的可运行 STN 列表建立候选机台集合，并使用 Reasoncode_CMP 过滤。截图可辨识的 PE Pi-Run reason 包括 APC_JOB_OFF、APC_JOB_OFF;AssignOtherSTN、APC_JOB_OFF;AssignOtherSide。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过滤机况不符合要求、存在冲突 pilot、预计执行后会超过 Lifetime 频度的机台边。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在剩余机台中选择 loading 最低者；loading 相同时选择 Lifetime 频度较低者。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若目标机台已存在 pilot，重新执行 pilot/机台选择；若无满足条件机台，本组安全结束并记录原因。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每台机台同一时刻仅允许一个 Pi-Run 子批；已选 STN 在 pilot 解除前不再参与循环。</w:t>
      </w:r>
    </w:p>
    <w:p>
      <w:pPr>
        <w:pStyle w:val="Heading2"/>
        <w:keepNext/>
      </w:pPr>
      <w:r>
        <w:t>Lifetime 风险计算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 w:val="true"/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步骤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计数器读取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按 equipmentid、chamberid、metertype 读取 mesprod.fabcmrpwafercount、mesprod.freqequipment、mesprod.xsiteeqpusagemeter。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计数类型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Table Polishing Wafer Count、PadReplaceWfrCnt、Pad wafer count。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边级 Current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同一机台边包含多个 Chamber 时，取对应类型 Current(value) 的最大值。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边级阈值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取各 Chamber max_value 的最小值，形成保守阈值 Min(max_value)。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预测值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New(lifetime) = 当前 Current(value) + 待运行 Lot Qty。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风险判定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若 New(lifetime) &gt; Min(max_value)，则该机台边存在超 Lifetime 风险并被剔除。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特殊边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对于 C-CCCU-C.T 的部分边，若命中 RTDConfig 参数 CMPLowWipMachinedouble，则使用 Qty/2 参与预测。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子批 Split 与循环终止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按 R2R_IAPC 配置片数生成 Pi-Run 子批；母批 qty 必须大于 Split 片数。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为母批设置 futuremerge，并记录 mergestep；该 Lot 与 STN 不再参加本轮后续选择。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下一次 Assign 对拆分子批进行卡控：其他可作业 STN 需以 R2RPirunlot 原因限制，Pi-Run 子批在规则中移除 LowWipControl。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按 selfcapability 分组循环选择，直到达到该组配置上限，或已无可选 Lot/STN。</w:t>
      </w:r>
    </w:p>
    <w:p>
      <w:pPr>
        <w:pStyle w:val="ListParagraph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每个 Lot 每轮仅可被选择一次；冷却期内不得重复进入候选集合。</w:t>
      </w:r>
    </w:p>
    <w:p>
      <w:pPr>
        <w:pStyle w:val="Heading1"/>
        <w:keepNext/>
      </w:pPr>
      <w:r>
        <w:t>调度、事务与异常处理</w:t>
      </w:r>
    </w:p>
    <w:p>
      <w:pPr>
        <w:pStyle w:val="Heading2"/>
        <w:keepNext/>
      </w:pPr>
      <w:r>
        <w:t>WatchDog 调度</w:t>
      </w:r>
    </w:p>
    <w:p>
      <w:r>
        <w:rPr>
          <w:rFonts w:ascii="Microsoft YaHei" w:hAnsi="Microsoft YaHei" w:eastAsia="Microsoft YaHei" w:cs="Microsoft YaHei"/>
          <w:i w:val="0"/>
          <w:color w:val="1F2937"/>
          <w:sz w:val="21"/>
        </w:rPr>
        <w:t>当 TriggerConfig 配置有效且 Switch=Y 时，WatchDog 在时间窗内每 5 分钟执行一次。每次运行必须生成唯一 runId，并在执行前获取防重入锁；上一次任务未结束时，本次触发应跳过或排队，不能并发操作同一 Lot。</w:t>
      </w:r>
    </w:p>
    <w:p>
      <w:pPr>
        <w:pStyle w:val="Heading2"/>
        <w:keepNext/>
      </w:pPr>
      <w:r>
        <w:t>事务边界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760"/>
        <w:gridCol w:w="4000"/>
      </w:tblGrid>
      <w:tr>
        <w:trPr>
          <w:cantSplit w:val="true"/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阶段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提交点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失败处理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决策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候选与目标机台确定后写入待执行记录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不产生物理变化；释放锁并记录原因。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Split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母批/子批关系创建成功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部分成功时执行补偿或转人工，不得重复 Split。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R2R 通知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收到 R2R 明确成功回执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按幂等键重试；超过阈值告警并保留待补发状态。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完成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本地状态、R2R 状态与审计记录一致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对账任务识别不一致并触发修复。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异常处理矩阵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860"/>
        <w:gridCol w:w="3600"/>
      </w:tblGrid>
      <w:tr>
        <w:trPr>
          <w:cantSplit w:val="true"/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异常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系统行为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监控/告警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关键配置缺失或非法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终止当前组，不做 Split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配置错误告警，带配置键与 selfcapability。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CMPAssign 数据已变化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重新读取并重算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记录 stale_data 次数。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无候选 Lot / STN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正常结束当前组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仅记录业务指标，不告警。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并发锁冲突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跳过本次运行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记录 skipped_due_to_lock。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Split 失败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停止后续步骤，执行补偿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高优先级告警，附 parentLotId/runId。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R2R 超时或失败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幂等重试，转待补发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接口告警与重试次数。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日志写入失败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不影响已完成的设备动作，但必须落本地补偿队列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审计完整性告警。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日志、监控与安全</w:t>
      </w:r>
    </w:p>
    <w:p>
      <w:pPr>
        <w:pStyle w:val="Heading2"/>
        <w:keepNext/>
      </w:pPr>
      <w:r>
        <w:t>审计日志</w:t>
      </w:r>
    </w:p>
    <w:p>
      <w:r>
        <w:rPr>
          <w:rFonts w:ascii="Microsoft YaHei" w:hAnsi="Microsoft YaHei" w:eastAsia="Microsoft YaHei" w:cs="Microsoft YaHei"/>
          <w:i w:val="0"/>
          <w:color w:val="1F2937"/>
          <w:sz w:val="21"/>
        </w:rPr>
        <w:t>每次选择均需记录“输入快照—过滤原因—排序分值—最终选择—Split 结果—R2R 回执”的完整决策链。敏感业务数据按商密二级要求控制访问，不在普通应用日志中输出完整生产配方或无关个人信息。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cantSplit w:val="true"/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日志域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最少记录项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运行级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runId、触发时间、配置版本、开始/结束时间、状态、耗时。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Lot 级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LotId、sysId、qty、selfcapability、风险标识、Remaining、过滤原因。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机台级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STN/tool、loading、Lifetime current/max、reasoncode、是否已有 pilot。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8"/>
              </w:rPr>
              <w:t>执行级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8"/>
              </w:rPr>
              <w:t>parent/child Lot、splitQty、mergeStep、futureMerge、幂等键、返回码。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关键指标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WatchDog 成功率、平均/最大执行时长、重入跳过次数。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每轮候选 Lot 数、flag=1/2 数、成功 Split 数、无可用机台数。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Split 成功率、R2R 接口成功率与重试率、对账差异数。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over Q-time Lot 数量变化、Pi-Run 等待时长、机台生产效率提升比例。</w:t>
      </w:r>
    </w:p>
    <w:p>
      <w:pPr>
        <w:pStyle w:val="Heading1"/>
        <w:keepNext/>
      </w:pPr>
      <w:r>
        <w:t>测试与验收</w:t>
      </w:r>
    </w:p>
    <w:p>
      <w:pPr>
        <w:pStyle w:val="Heading2"/>
        <w:keepNext/>
      </w:pPr>
      <w:r>
        <w:t>核心测试场景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1600"/>
        <w:gridCol w:w="4000"/>
        <w:gridCol w:w="2960"/>
      </w:tblGrid>
      <w:tr>
        <w:trPr>
          <w:cantSplit w:val="true"/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ID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场景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输入/前置条件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6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T01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selfcapability 分组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按 tool_name/side 取得 selfcapability，并按组取 picountconfig 最小值。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分组与上限正确。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T02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候选初筛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Lot 状态可用且 qty&gt;5。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仅保留符合条件的 Lot。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T03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实时复核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缓存记录与 CMPLotAssignment 实时数据不一致。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使用实时数据重算。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T04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风险优先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QTimeWorse 或 LifeTimeWorse 为 T。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needpirunflag=2，优先于 flag=1。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T05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Highwip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QWIP&gt;LimitWIP 且无原风险。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needpirunflag=1。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T06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机台过滤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机况异常/已有 pilot/预计超 Lifetime。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不可 Pi 的机台被剔除。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T07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机台排序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多个机台可用。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选 loading 最低；相同则选 Lifetime 频度低。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T08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唯一性与冷却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Lot/STN 已在本轮选中或仍在冷却期。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不重复选择。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T09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分批片数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母批 qty 大于 R2R_IAPC 配置片数。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正确 Split 并输出 componentinfo。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T10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调度开关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Switch=N 或不在时间窗。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不执行；不产生子批。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T11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R2R 失败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接口超时/返回失败。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幂等重试，最终进入待补发并告警。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T12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配置兼容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ControlType 为空、Lowwip、Highwip、非法值。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6"/>
              </w:rPr>
              <w:t>兼容/启用/拒绝逻辑符合设计。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验收标准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功能：截图需求与测试用例中可辨识的选择、机台分配、Split 和 R2R 发送逻辑全部通过。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一致性：同一 Lot、同一机台不存在重复分批；异常恢复后数据可对账。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性能：单轮执行在约定窗口内完成，且不与下一轮 WatchDog 重叠。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效果：over Q-time Lot 数量下降；机台生产效率提升目标按上线前基线与观察周期进行验证，参考目标为 3% 以上。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可运维：所有决策可通过 runId 追溯，关键错误具备告警、重试与人工处置入口。</w:t>
      </w:r>
    </w:p>
    <w:p>
      <w:pPr>
        <w:pStyle w:val="Heading1"/>
        <w:keepNext/>
      </w:pPr>
      <w:r>
        <w:t>上线与回退</w:t>
      </w:r>
    </w:p>
    <w:p>
      <w:pPr>
        <w:pStyle w:val="Heading2"/>
        <w:keepNext/>
      </w:pPr>
      <w:r>
        <w:t>上线步骤</w:t>
      </w:r>
    </w:p>
    <w:p>
      <w:pPr>
        <w:pStyle w:val="ListParagraph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完成配置清洗与接口字段确认，关闭全部待确认事项。</w:t>
      </w:r>
    </w:p>
    <w:p>
      <w:pPr>
        <w:pStyle w:val="ListParagraph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在影子模式运行，仅输出决策不执行 Split；与人工选择结果对比。</w:t>
      </w:r>
    </w:p>
    <w:p>
      <w:pPr>
        <w:pStyle w:val="ListParagraph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按 selfcapability / 机台组小范围启用，验证 Split、R2R 回执与对账。</w:t>
      </w:r>
    </w:p>
    <w:p>
      <w:pPr>
        <w:pStyle w:val="ListParagraph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逐步扩大范围，并持续观察 over Q-time、效率、失败率与重复选择指标。</w:t>
      </w:r>
    </w:p>
    <w:p>
      <w:pPr>
        <w:pStyle w:val="ListParagraph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达到稳定门槛后转为全量运行，保留人工暂停开关。</w:t>
      </w:r>
    </w:p>
    <w:p>
      <w:pPr>
        <w:pStyle w:val="Heading2"/>
        <w:keepNext/>
      </w:pPr>
      <w:r>
        <w:t>回退策略</w:t>
      </w:r>
    </w:p>
    <w:p>
      <w:r>
        <w:rPr>
          <w:rFonts w:ascii="Microsoft YaHei" w:hAnsi="Microsoft YaHei" w:eastAsia="Microsoft YaHei" w:cs="Microsoft YaHei"/>
          <w:i w:val="0"/>
          <w:color w:val="1F2937"/>
          <w:sz w:val="21"/>
        </w:rPr>
        <w:t>优先通过 AMA.TriggerConfig 将 Switch 置为非 Y 停止新任务；对已 Split 但未完成 R2R 同步的记录进入人工补偿清单。回退不得直接删除审计记录或绕过母子批一致性检查。</w:t>
      </w:r>
    </w:p>
    <w:p>
      <w:pPr>
        <w:pStyle w:val="Heading1"/>
        <w:keepNext/>
      </w:pPr>
      <w:r>
        <w:t>待确认事项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4500"/>
        <w:gridCol w:w="1800"/>
        <w:gridCol w:w="2260"/>
      </w:tblGrid>
      <w:tr>
        <w:trPr>
          <w:cantSplit w:val="true"/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编号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事项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建议责任方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E8EEF5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color w:val="1F2937"/>
                <w:sz w:val="17"/>
              </w:rPr>
              <w:t>关闭条件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O-01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可用 Lot 状态白名单及 qty&gt;5 是否适用于所有 CMP 场景。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CMP 工艺 / CMPAssign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形成状态与数量规则表。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O-02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Q-time 风险 Lot 的 Remaining 排序、空值及“无 Qtimelot”处理。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CMP 工艺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用示例数据确认排序结果。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O-03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LimitWIP 公式各字段单位、Min(QTimeLimit) 取值范围与 Ratio 精度。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业务 / RTD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通过边界测试与样例计算。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O-04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Reasoncode_CMP 允许/排除集合及 LowWipControl 的确切移除时点。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PE / R2R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形成接口枚举与时序图。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O-05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CMPLowWipMachinedouble 的准确参数名、多值格式与特殊边清单。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RTD / 运维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配置字典评审通过。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O-06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Split 与 R2R 的接口字段、幂等键、超时、重试与补偿协议。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AMA / R2R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接口契约签字确认。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O-07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冷却期 1 天的起算时点、解除条件与跨日批次处理。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业务 / 开发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9D2DE"/>
              <w:start w:val="single" w:sz="6" w:space="0" w:color="C9D2DE"/>
              <w:bottom w:val="single" w:sz="6" w:space="0" w:color="C9D2DE"/>
              <w:end w:val="single" w:sz="6" w:space="0" w:color="C9D2DE"/>
            </w:tcBorders>
            <w:shd w:fill="FFFFFF"/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F2937"/>
                <w:sz w:val="17"/>
              </w:rPr>
              <w:t>验收用例覆盖。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附录：伪代码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  <w:tcBorders>
              <w:top w:val="single" w:sz="8" w:color="C9D2DE"/>
              <w:start w:val="single" w:sz="20" w:color="1F6D7A"/>
              <w:bottom w:val="single" w:sz="8" w:color="C9D2DE"/>
              <w:end w:val="single" w:sz="8" w:color="C9D2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on_watchdog_tick():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if not trigger_config.enabled(now): return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with non_reentrant_lock('CMPAutoPirun'):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snapshot = load_latest_cmpassign_and_configs()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groups = group_by_selfcapability(snapshot)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for group in groups: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while group.selected_count &lt; group.picount_limit: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lot = select_risk_lot(group) or select_highwip_lot(group)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if lot is None: break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realtime_lot = double_check(lot)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tool = select_low_loading_safe_tool(realtime_lot)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if tool is None: mark_unassigned(lot); continue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child = idempotent_split(lot, configured_split_qty)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notify_r2r(child, tool, merge_info)</w:t>
              <w:br/>
            </w:r>
            <w:r>
              <w:rPr>
                <w:rFonts w:ascii="Consolas" w:hAnsi="Consolas" w:eastAsia="Consolas" w:cs="Consolas"/>
                <w:color w:val="263238"/>
                <w:sz w:val="17"/>
              </w:rPr>
              <w:t xml:space="preserve">        write_audit_chain(snapshot, lot, tool, child)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附录：来源图片清单</w:t>
      </w:r>
    </w:p>
    <w:p>
      <w:r>
        <w:rPr>
          <w:rFonts w:ascii="Microsoft YaHei" w:hAnsi="Microsoft YaHei" w:eastAsia="Microsoft YaHei" w:cs="Microsoft YaHei"/>
          <w:i/>
          <w:color w:val="1F2937"/>
          <w:sz w:val="21"/>
        </w:rPr>
        <w:t>D:\Obsidian\work\OBSidianCodex\00.raw-materials\10.sources\images\CMPAutoPirun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技术文档1.jpg - 技术文档4.jpg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需求单1.jpg - 需求单5.jpg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Testcase1.jpg - Testcase2.jpg</w:t>
      </w:r>
    </w:p>
    <w:p>
      <w:pPr>
        <w:pStyle w:val="ListParagraph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1"/>
        </w:rPr>
        <w:t>PPT.jpg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30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6200"/>
      <w:gridCol w:w="3160"/>
    </w:tblGrid>
    <w:tr>
      <w:tc>
        <w:tcPr>
          <w:tcW w:type="dxa" w:w="6200"/>
          <w:tcMar>
            <w:top w:w="80" w:type="dxa"/>
            <w:start w:w="0" w:type="dxa"/>
            <w:bottom w:w="0" w:type="dxa"/>
            <w:end w:w="0" w:type="dxa"/>
          </w:tcMar>
          <w:tcBorders>
            <w:top w:val="single" w:sz="8" w:color="C9D2DE"/>
            <w:start w:val="nil"/>
            <w:bottom w:val="nil"/>
            <w:end w:val="nil"/>
          </w:tcBorders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B6573"/>
              <w:sz w:val="16"/>
            </w:rPr>
            <w:t>AMA-DDS-CMP-AP-001  ·  V1.0</w:t>
          </w:r>
        </w:p>
      </w:tc>
      <w:tc>
        <w:tcPr>
          <w:tcW w:type="dxa" w:w="3160"/>
          <w:tcMar>
            <w:top w:w="80" w:type="dxa"/>
            <w:start w:w="0" w:type="dxa"/>
            <w:bottom w:w="0" w:type="dxa"/>
            <w:end w:w="0" w:type="dxa"/>
          </w:tcMar>
          <w:tcBorders>
            <w:top w:val="single" w:sz="8" w:color="C9D2DE"/>
            <w:start w:val="nil"/>
            <w:bottom w:val="nil"/>
            <w:end w:val="nil"/>
          </w:tcBorders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B6573"/>
              <w:sz w:val="16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B6573"/>
              <w:sz w:val="16"/>
            </w:rPr>
            <w:fldChar w:fldCharType="begin" w:dirty="true"/>
            <w:instrText xml:space="preserve">PAGE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B6573"/>
              <w:sz w:val="16"/>
            </w:rPr>
            <w:t xml:space="preserve"> 页 / 共 </w:t>
          </w:r>
          <w:r>
            <w:rPr>
              <w:rFonts w:ascii="Microsoft YaHei" w:hAnsi="Microsoft YaHei" w:eastAsia="Microsoft YaHei" w:cs="Microsoft YaHei"/>
              <w:color w:val="5B6573"/>
              <w:sz w:val="16"/>
            </w:rPr>
            <w:fldChar w:fldCharType="begin" w:dirty="true"/>
            <w:instrText xml:space="preserve">NUMPAGES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B6573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 w:cs="Microsoft YaHei"/>
        <w:b/>
        <w:color w:val="5B6573"/>
        <w:sz w:val="17"/>
      </w:rPr>
      <w:t>CMPAutoPirun 详细设计说明书</w:t>
    </w:r>
    <w:r>
      <w:rPr>
        <w:rFonts w:ascii="Microsoft YaHei" w:hAnsi="Microsoft YaHei" w:eastAsia="Microsoft YaHei" w:cs="Microsoft YaHei"/>
        <w:color w:val="5B6573"/>
        <w:sz w:val="17"/>
      </w:rPr>
      <w:t xml:space="preserve">  |  Confidential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CMPAutoPirun 详细设计说明书</dc:title>
  <dc:subject>CMP R2R Pi-Run Lot 自动分批功能详细设计</dc:subject>
  <dc:creator>CMPAutoPirun 项目组</dc:creator>
  <cp:keywords>CMP, R2R, Pi-Run, AMA, 自动分批, 详细设计</cp:keywords>
  <dc:description>Based on project source screenshots; review draft.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