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BE2F" w14:textId="054E13F8" w:rsidR="004A2CC8" w:rsidRPr="00327A89" w:rsidRDefault="004A2CC8" w:rsidP="004A2CC8">
      <w:pPr>
        <w:spacing w:line="480" w:lineRule="auto"/>
        <w:ind w:firstLine="720"/>
        <w:jc w:val="center"/>
        <w:rPr>
          <w:rFonts w:ascii="Times New Roman" w:hAnsi="Times New Roman" w:cs="Times New Roman"/>
          <w:b/>
          <w:bCs/>
          <w:sz w:val="24"/>
          <w:szCs w:val="24"/>
        </w:rPr>
      </w:pPr>
      <w:r w:rsidRPr="00327A89">
        <w:rPr>
          <w:rFonts w:ascii="Times New Roman" w:hAnsi="Times New Roman" w:cs="Times New Roman"/>
          <w:b/>
          <w:bCs/>
          <w:sz w:val="24"/>
          <w:szCs w:val="24"/>
        </w:rPr>
        <w:t>Pretest report</w:t>
      </w:r>
    </w:p>
    <w:p w14:paraId="5D0AA1E3" w14:textId="17C0C1F5" w:rsidR="00B726D7" w:rsidRPr="00327A89" w:rsidRDefault="00B726D7" w:rsidP="004A2CC8">
      <w:pPr>
        <w:spacing w:line="480" w:lineRule="auto"/>
        <w:ind w:firstLine="720"/>
        <w:jc w:val="both"/>
        <w:rPr>
          <w:rFonts w:ascii="Times New Roman" w:hAnsi="Times New Roman" w:cs="Times New Roman"/>
          <w:sz w:val="24"/>
          <w:szCs w:val="24"/>
        </w:rPr>
      </w:pPr>
      <w:r w:rsidRPr="00327A89">
        <w:rPr>
          <w:rFonts w:ascii="Times New Roman" w:hAnsi="Times New Roman" w:cs="Times New Roman"/>
          <w:sz w:val="24"/>
          <w:szCs w:val="24"/>
        </w:rPr>
        <w:t>Sample</w:t>
      </w:r>
    </w:p>
    <w:p w14:paraId="6EB75FBF" w14:textId="39FDEA19" w:rsidR="004A2CC8" w:rsidRPr="00327A89" w:rsidRDefault="004A2CC8" w:rsidP="004A2CC8">
      <w:pPr>
        <w:spacing w:line="480" w:lineRule="auto"/>
        <w:ind w:firstLine="720"/>
        <w:jc w:val="both"/>
        <w:rPr>
          <w:rFonts w:ascii="Times New Roman" w:hAnsi="Times New Roman" w:cs="Times New Roman"/>
          <w:i/>
          <w:iCs/>
          <w:sz w:val="24"/>
          <w:szCs w:val="24"/>
        </w:rPr>
      </w:pPr>
      <w:r w:rsidRPr="00327A89">
        <w:rPr>
          <w:rFonts w:ascii="Times New Roman" w:hAnsi="Times New Roman" w:cs="Times New Roman"/>
          <w:sz w:val="24"/>
          <w:szCs w:val="24"/>
        </w:rPr>
        <w:t xml:space="preserve">In total, 162 subjects were divided into 4 groups: investing (n = 37, M = 20, F = 17), construction (n = 45, M = 33, F = 12), real estate (n = 42, M = 27, F = 15) and online retail (n = 38, M = 22, F = 16). </w:t>
      </w:r>
    </w:p>
    <w:p w14:paraId="0BE1279D" w14:textId="58DD878E" w:rsidR="004A2CC8" w:rsidRPr="00327A89" w:rsidRDefault="004A2CC8" w:rsidP="00B726D7">
      <w:pPr>
        <w:spacing w:line="480" w:lineRule="auto"/>
        <w:ind w:left="720"/>
        <w:jc w:val="both"/>
        <w:rPr>
          <w:rFonts w:ascii="Times New Roman" w:hAnsi="Times New Roman" w:cs="Times New Roman"/>
          <w:i/>
          <w:iCs/>
          <w:sz w:val="24"/>
          <w:szCs w:val="24"/>
        </w:rPr>
      </w:pPr>
      <w:r w:rsidRPr="00327A89">
        <w:rPr>
          <w:rFonts w:ascii="Times New Roman" w:hAnsi="Times New Roman" w:cs="Times New Roman"/>
          <w:sz w:val="24"/>
          <w:szCs w:val="24"/>
        </w:rPr>
        <w:t>Procedure</w:t>
      </w:r>
    </w:p>
    <w:p w14:paraId="2B8AB30D" w14:textId="5D5026F9" w:rsidR="00B726D7" w:rsidRPr="00327A89" w:rsidRDefault="004A2CC8" w:rsidP="00B726D7">
      <w:pPr>
        <w:autoSpaceDE w:val="0"/>
        <w:autoSpaceDN w:val="0"/>
        <w:adjustRightInd w:val="0"/>
        <w:spacing w:after="0" w:line="480" w:lineRule="auto"/>
        <w:ind w:firstLine="720"/>
        <w:jc w:val="both"/>
        <w:rPr>
          <w:rFonts w:ascii="Times New Roman" w:hAnsi="Times New Roman" w:cs="Times New Roman"/>
          <w:sz w:val="24"/>
          <w:szCs w:val="24"/>
        </w:rPr>
      </w:pPr>
      <w:r w:rsidRPr="00327A89">
        <w:rPr>
          <w:rFonts w:ascii="Times New Roman" w:hAnsi="Times New Roman" w:cs="Times New Roman"/>
          <w:sz w:val="24"/>
          <w:szCs w:val="24"/>
        </w:rPr>
        <w:t>Four different vignettes were pre-tested to ascertain how reliably they triggered judgments of greed. These vignettes refer to fictitious companies, but all are based on real-life situations. They describe investing (n = 37), construction (n = 45), real estate (n = 42), and online retailing companies (n = 38) implementing strategies to boost their profits. These strategies are hidden fees</w:t>
      </w:r>
      <w:r w:rsidR="00327A89" w:rsidRPr="00327A89">
        <w:rPr>
          <w:rFonts w:ascii="Times New Roman" w:hAnsi="Times New Roman" w:cs="Times New Roman"/>
          <w:sz w:val="24"/>
          <w:szCs w:val="24"/>
        </w:rPr>
        <w:t xml:space="preserve"> </w:t>
      </w:r>
      <w:r w:rsidR="00327A89" w:rsidRPr="00327A89">
        <w:rPr>
          <w:rFonts w:ascii="Times New Roman" w:hAnsi="Times New Roman" w:cs="Times New Roman"/>
          <w:sz w:val="24"/>
          <w:szCs w:val="24"/>
        </w:rPr>
        <w:fldChar w:fldCharType="begin"/>
      </w:r>
      <w:r w:rsidR="00327A89" w:rsidRPr="00327A89">
        <w:rPr>
          <w:rFonts w:ascii="Times New Roman" w:hAnsi="Times New Roman" w:cs="Times New Roman"/>
          <w:sz w:val="24"/>
          <w:szCs w:val="24"/>
        </w:rPr>
        <w:instrText xml:space="preserve"> ADDIN EN.CITE &lt;EndNote&gt;&lt;Cite&gt;&lt;Author&gt;Taylor&lt;/Author&gt;&lt;Year&gt;2019&lt;/Year&gt;&lt;RecNum&gt;153&lt;/RecNum&gt;&lt;DisplayText&gt;(Taylor, 2019)&lt;/DisplayText&gt;&lt;record&gt;&lt;rec-number&gt;153&lt;/rec-number&gt;&lt;foreign-keys&gt;&lt;key app="EN" db-id="f9rw9xa992padee9txkp225xezxtwx2atve0" timestamp="1616634123"&gt;153&lt;/key&gt;&lt;/foreign-keys&gt;&lt;ref-type name="Web Page"&gt;12&lt;/ref-type&gt;&lt;contributors&gt;&lt;authors&gt;&lt;author&gt;Ben Taylor&lt;/author&gt;&lt;/authors&gt;&lt;/contributors&gt;&lt;titles&gt;&lt;title&gt;The Costs of Investing&lt;/title&gt;&lt;secondary-title&gt;Investing Essentials&lt;/secondary-title&gt;&lt;/titles&gt;&lt;volume&gt;2021&lt;/volume&gt;&lt;number&gt;03/25&lt;/number&gt;&lt;dates&gt;&lt;year&gt;2019&lt;/year&gt;&lt;pub-dates&gt;&lt;date&gt;07/10/2019&lt;/date&gt;&lt;/pub-dates&gt;&lt;/dates&gt;&lt;pub-location&gt;Investopedia&lt;/pub-location&gt;&lt;urls&gt;&lt;related-urls&gt;&lt;url&gt;https://www.investopedia.com/investing/costs-investing/&lt;/url&gt;&lt;/related-urls&gt;&lt;/urls&gt;&lt;/record&gt;&lt;/Cite&gt;&lt;/EndNote&gt;</w:instrText>
      </w:r>
      <w:r w:rsidR="00327A89" w:rsidRPr="00327A89">
        <w:rPr>
          <w:rFonts w:ascii="Times New Roman" w:hAnsi="Times New Roman" w:cs="Times New Roman"/>
          <w:sz w:val="24"/>
          <w:szCs w:val="24"/>
        </w:rPr>
        <w:fldChar w:fldCharType="separate"/>
      </w:r>
      <w:r w:rsidR="00327A89" w:rsidRPr="00327A89">
        <w:rPr>
          <w:rFonts w:ascii="Times New Roman" w:hAnsi="Times New Roman" w:cs="Times New Roman"/>
          <w:sz w:val="24"/>
          <w:szCs w:val="24"/>
        </w:rPr>
        <w:t>(Taylor, 2019)</w:t>
      </w:r>
      <w:r w:rsidR="00327A89" w:rsidRPr="00327A89">
        <w:rPr>
          <w:rFonts w:ascii="Times New Roman" w:hAnsi="Times New Roman" w:cs="Times New Roman"/>
          <w:sz w:val="24"/>
          <w:szCs w:val="24"/>
        </w:rPr>
        <w:fldChar w:fldCharType="end"/>
      </w:r>
      <w:r w:rsidRPr="00327A89">
        <w:rPr>
          <w:rFonts w:ascii="Times New Roman" w:hAnsi="Times New Roman" w:cs="Times New Roman"/>
          <w:sz w:val="24"/>
          <w:szCs w:val="24"/>
        </w:rPr>
        <w:t xml:space="preserve">, use of substandard construction materials </w:t>
      </w:r>
      <w:r w:rsidRPr="00327A89">
        <w:rPr>
          <w:rFonts w:ascii="Times New Roman" w:hAnsi="Times New Roman" w:cs="Times New Roman"/>
          <w:sz w:val="24"/>
          <w:szCs w:val="24"/>
        </w:rPr>
        <w:fldChar w:fldCharType="begin"/>
      </w:r>
      <w:r w:rsidRPr="00327A89">
        <w:rPr>
          <w:rFonts w:ascii="Times New Roman" w:hAnsi="Times New Roman" w:cs="Times New Roman"/>
          <w:sz w:val="24"/>
          <w:szCs w:val="24"/>
        </w:rPr>
        <w:instrText xml:space="preserve"> ADDIN EN.CITE &lt;EndNote&gt;&lt;Cite&gt;&lt;Author&gt;Oloyede&lt;/Author&gt;&lt;Year&gt;2010&lt;/Year&gt;&lt;RecNum&gt;154&lt;/RecNum&gt;&lt;DisplayText&gt;(Oloyede&lt;style face="italic"&gt; et al.&lt;/style&gt;, 2010)&lt;/DisplayText&gt;&lt;record&gt;&lt;rec-number&gt;154&lt;/rec-number&gt;&lt;foreign-keys&gt;&lt;key app="EN" db-id="f9rw9xa992padee9txkp225xezxtwx2atve0" timestamp="1616634395"&gt;154&lt;/key&gt;&lt;/foreign-keys&gt;&lt;ref-type name="Journal Article"&gt;17&lt;/ref-type&gt;&lt;contributors&gt;&lt;authors&gt;&lt;author&gt;Oloyede, S. A.&lt;/author&gt;&lt;author&gt;Omoogun, C. B.&lt;/author&gt;&lt;author&gt;Akinjare, O. A.&lt;/author&gt;&lt;/authors&gt;&lt;/contributors&gt;&lt;titles&gt;&lt;title&gt;Tackling Causes of Frequent Building Collapse in Nigeria&lt;/title&gt;&lt;secondary-title&gt;Journal of sustainable development&lt;/secondary-title&gt;&lt;/titles&gt;&lt;periodical&gt;&lt;full-title&gt;Journal of sustainable development&lt;/full-title&gt;&lt;/periodical&gt;&lt;volume&gt;3&lt;/volume&gt;&lt;number&gt;3&lt;/number&gt;&lt;dates&gt;&lt;year&gt;2010&lt;/year&gt;&lt;/dates&gt;&lt;isbn&gt;1913-9063&lt;/isbn&gt;&lt;urls&gt;&lt;/urls&gt;&lt;electronic-resource-num&gt;https://doi.org/10.5539/jsd.v3n3p127&lt;/electronic-resource-num&gt;&lt;/record&gt;&lt;/Cite&gt;&lt;/EndNote&gt;</w:instrText>
      </w:r>
      <w:r w:rsidRPr="00327A89">
        <w:rPr>
          <w:rFonts w:ascii="Times New Roman" w:hAnsi="Times New Roman" w:cs="Times New Roman"/>
          <w:sz w:val="24"/>
          <w:szCs w:val="24"/>
        </w:rPr>
        <w:fldChar w:fldCharType="separate"/>
      </w:r>
      <w:r w:rsidRPr="00327A89">
        <w:rPr>
          <w:rFonts w:ascii="Times New Roman" w:hAnsi="Times New Roman" w:cs="Times New Roman"/>
          <w:sz w:val="24"/>
          <w:szCs w:val="24"/>
        </w:rPr>
        <w:t>(Oloyede</w:t>
      </w:r>
      <w:r w:rsidRPr="00327A89">
        <w:rPr>
          <w:rFonts w:ascii="Times New Roman" w:hAnsi="Times New Roman" w:cs="Times New Roman"/>
          <w:i/>
          <w:sz w:val="24"/>
          <w:szCs w:val="24"/>
        </w:rPr>
        <w:t xml:space="preserve"> et al.</w:t>
      </w:r>
      <w:r w:rsidRPr="00327A89">
        <w:rPr>
          <w:rFonts w:ascii="Times New Roman" w:hAnsi="Times New Roman" w:cs="Times New Roman"/>
          <w:sz w:val="24"/>
          <w:szCs w:val="24"/>
        </w:rPr>
        <w:t>, 2010)</w:t>
      </w:r>
      <w:r w:rsidRPr="00327A89">
        <w:rPr>
          <w:rFonts w:ascii="Times New Roman" w:hAnsi="Times New Roman" w:cs="Times New Roman"/>
          <w:sz w:val="24"/>
          <w:szCs w:val="24"/>
        </w:rPr>
        <w:fldChar w:fldCharType="end"/>
      </w:r>
      <w:r w:rsidRPr="00327A89">
        <w:rPr>
          <w:rFonts w:ascii="Times New Roman" w:hAnsi="Times New Roman" w:cs="Times New Roman"/>
          <w:sz w:val="24"/>
          <w:szCs w:val="24"/>
        </w:rPr>
        <w:t xml:space="preserve">, increasing rents inconsiderately </w:t>
      </w:r>
      <w:r w:rsidRPr="00327A89">
        <w:rPr>
          <w:rFonts w:ascii="Times New Roman" w:hAnsi="Times New Roman" w:cs="Times New Roman"/>
          <w:sz w:val="24"/>
          <w:szCs w:val="24"/>
        </w:rPr>
        <w:fldChar w:fldCharType="begin"/>
      </w:r>
      <w:r w:rsidRPr="00327A89">
        <w:rPr>
          <w:rFonts w:ascii="Times New Roman" w:hAnsi="Times New Roman" w:cs="Times New Roman"/>
          <w:sz w:val="24"/>
          <w:szCs w:val="24"/>
        </w:rPr>
        <w:instrText xml:space="preserve"> ADDIN EN.CITE &lt;EndNote&gt;&lt;Cite&gt;&lt;Author&gt;The Age&lt;/Author&gt;&lt;Year&gt;2020&lt;/Year&gt;&lt;RecNum&gt;156&lt;/RecNum&gt;&lt;DisplayText&gt;(The Age, 2020)&lt;/DisplayText&gt;&lt;record&gt;&lt;rec-number&gt;156&lt;/rec-number&gt;&lt;foreign-keys&gt;&lt;key app="EN" db-id="f9rw9xa992padee9txkp225xezxtwx2atve0" timestamp="1616646755"&gt;156&lt;/key&gt;&lt;/foreign-keys&gt;&lt;ref-type name="Newspaper Article"&gt;23&lt;/ref-type&gt;&lt;contributors&gt;&lt;authors&gt;&lt;author&gt;The Age,&lt;/author&gt;&lt;/authors&gt;&lt;/contributors&gt;&lt;titles&gt;&lt;title&gt;Landlords and tenants: A lack of compassion for too many tenants&lt;/title&gt;&lt;secondary-title&gt;The Age&lt;/secondary-title&gt;&lt;/titles&gt;&lt;section&gt;National Letters&lt;/section&gt;&lt;dates&gt;&lt;year&gt;2020&lt;/year&gt;&lt;pub-dates&gt;&lt;date&gt;10/04/2020&lt;/date&gt;&lt;/pub-dates&gt;&lt;/dates&gt;&lt;pub-location&gt;Australia&lt;/pub-location&gt;&lt;work-type&gt;Newsletter&lt;/work-type&gt;&lt;urls&gt;&lt;related-urls&gt;&lt;url&gt;https://www.theage.com.au/national/landlords-and-tenants-luckless-tenants-face-lies-and-intimidation-20200409-h1n97u.html&lt;/url&gt;&lt;/related-urls&gt;&lt;/urls&gt;&lt;access-date&gt;25/03/2021&lt;/access-date&gt;&lt;/record&gt;&lt;/Cite&gt;&lt;/EndNote&gt;</w:instrText>
      </w:r>
      <w:r w:rsidRPr="00327A89">
        <w:rPr>
          <w:rFonts w:ascii="Times New Roman" w:hAnsi="Times New Roman" w:cs="Times New Roman"/>
          <w:sz w:val="24"/>
          <w:szCs w:val="24"/>
        </w:rPr>
        <w:fldChar w:fldCharType="separate"/>
      </w:r>
      <w:r w:rsidRPr="00327A89">
        <w:rPr>
          <w:rFonts w:ascii="Times New Roman" w:hAnsi="Times New Roman" w:cs="Times New Roman"/>
          <w:sz w:val="24"/>
          <w:szCs w:val="24"/>
        </w:rPr>
        <w:t>(The Age, 2020)</w:t>
      </w:r>
      <w:r w:rsidRPr="00327A89">
        <w:rPr>
          <w:rFonts w:ascii="Times New Roman" w:hAnsi="Times New Roman" w:cs="Times New Roman"/>
          <w:sz w:val="24"/>
          <w:szCs w:val="24"/>
        </w:rPr>
        <w:fldChar w:fldCharType="end"/>
      </w:r>
      <w:r w:rsidRPr="00327A89">
        <w:rPr>
          <w:rFonts w:ascii="Times New Roman" w:hAnsi="Times New Roman" w:cs="Times New Roman"/>
          <w:sz w:val="24"/>
          <w:szCs w:val="24"/>
        </w:rPr>
        <w:t xml:space="preserve">, and unfair competition </w:t>
      </w:r>
      <w:r w:rsidRPr="00327A89">
        <w:rPr>
          <w:rFonts w:ascii="Times New Roman" w:hAnsi="Times New Roman" w:cs="Times New Roman"/>
          <w:sz w:val="24"/>
          <w:szCs w:val="24"/>
        </w:rPr>
        <w:fldChar w:fldCharType="begin"/>
      </w:r>
      <w:r w:rsidRPr="00327A89">
        <w:rPr>
          <w:rFonts w:ascii="Times New Roman" w:hAnsi="Times New Roman" w:cs="Times New Roman"/>
          <w:sz w:val="24"/>
          <w:szCs w:val="24"/>
        </w:rPr>
        <w:instrText xml:space="preserve"> ADDIN EN.CITE &lt;EndNote&gt;&lt;Cite&gt;&lt;Author&gt;Khan&lt;/Author&gt;&lt;Year&gt;2017&lt;/Year&gt;&lt;RecNum&gt;152&lt;/RecNum&gt;&lt;DisplayText&gt;(Khan, 2017)&lt;/DisplayText&gt;&lt;record&gt;&lt;rec-number&gt;152&lt;/rec-number&gt;&lt;foreign-keys&gt;&lt;key app="EN" db-id="f9rw9xa992padee9txkp225xezxtwx2atve0" timestamp="1616633645"&gt;152&lt;/key&gt;&lt;/foreign-keys&gt;&lt;ref-type name="Journal Article"&gt;17&lt;/ref-type&gt;&lt;contributors&gt;&lt;authors&gt;&lt;author&gt;Lina M Khan&lt;/author&gt;&lt;/authors&gt;&lt;/contributors&gt;&lt;titles&gt;&lt;title&gt;Amazon&amp;apos;s Antitrust Paradox&lt;/title&gt;&lt;secondary-title&gt;The Yale law journal&lt;/secondary-title&gt;&lt;/titles&gt;&lt;periodical&gt;&lt;full-title&gt;The Yale law journal&lt;/full-title&gt;&lt;/periodical&gt;&lt;pages&gt;710-805&lt;/pages&gt;&lt;volume&gt;126&lt;/volume&gt;&lt;number&gt;3&lt;/number&gt;&lt;keywords&gt;&lt;keyword&gt;NOTES&lt;/keyword&gt;&lt;keyword&gt;Evaluation&lt;/keyword&gt;&lt;keyword&gt;Antitrust law&lt;/keyword&gt;&lt;keyword&gt;Laws, regulations and rules&lt;/keyword&gt;&lt;keyword&gt;Online information services&lt;/keyword&gt;&lt;keyword&gt;Information services&lt;/keyword&gt;&lt;keyword&gt;Market power&lt;/keyword&gt;&lt;keyword&gt;Influence&lt;/keyword&gt;&lt;keyword&gt;Models&lt;/keyword&gt;&lt;keyword&gt;Online services&lt;/keyword&gt;&lt;/keywords&gt;&lt;dates&gt;&lt;year&gt;2017&lt;/year&gt;&lt;/dates&gt;&lt;publisher&gt;The Yale Law Journal Company, Inc&lt;/publisher&gt;&lt;isbn&gt;0044-0094&lt;/isbn&gt;&lt;urls&gt;&lt;/urls&gt;&lt;/record&gt;&lt;/Cite&gt;&lt;/EndNote&gt;</w:instrText>
      </w:r>
      <w:r w:rsidRPr="00327A89">
        <w:rPr>
          <w:rFonts w:ascii="Times New Roman" w:hAnsi="Times New Roman" w:cs="Times New Roman"/>
          <w:sz w:val="24"/>
          <w:szCs w:val="24"/>
        </w:rPr>
        <w:fldChar w:fldCharType="separate"/>
      </w:r>
      <w:r w:rsidRPr="00327A89">
        <w:rPr>
          <w:rFonts w:ascii="Times New Roman" w:hAnsi="Times New Roman" w:cs="Times New Roman"/>
          <w:sz w:val="24"/>
          <w:szCs w:val="24"/>
        </w:rPr>
        <w:t>(Khan, 2017)</w:t>
      </w:r>
      <w:r w:rsidRPr="00327A89">
        <w:rPr>
          <w:rFonts w:ascii="Times New Roman" w:hAnsi="Times New Roman" w:cs="Times New Roman"/>
          <w:sz w:val="24"/>
          <w:szCs w:val="24"/>
        </w:rPr>
        <w:fldChar w:fldCharType="end"/>
      </w:r>
      <w:r w:rsidRPr="00327A89">
        <w:rPr>
          <w:rFonts w:ascii="Times New Roman" w:hAnsi="Times New Roman" w:cs="Times New Roman"/>
          <w:sz w:val="24"/>
          <w:szCs w:val="24"/>
        </w:rPr>
        <w:t>, respectively. According to the definition of greed previously presented, our narrative includes stimuli elements to clarify that (</w:t>
      </w:r>
      <w:proofErr w:type="spellStart"/>
      <w:r w:rsidRPr="00327A89">
        <w:rPr>
          <w:rFonts w:ascii="Times New Roman" w:hAnsi="Times New Roman" w:cs="Times New Roman"/>
          <w:sz w:val="24"/>
          <w:szCs w:val="24"/>
        </w:rPr>
        <w:t>i</w:t>
      </w:r>
      <w:proofErr w:type="spellEnd"/>
      <w:r w:rsidRPr="00327A89">
        <w:rPr>
          <w:rFonts w:ascii="Times New Roman" w:hAnsi="Times New Roman" w:cs="Times New Roman"/>
          <w:sz w:val="24"/>
          <w:szCs w:val="24"/>
        </w:rPr>
        <w:t>) at least one distributive justice principle is being violated, (ii) the companies are not implementing these strategies out of necessity, (iii) someone is being hurt, and (iv) the behavior is indicative of a pattern</w:t>
      </w:r>
      <w:r w:rsidR="00B726D7" w:rsidRPr="00327A89">
        <w:rPr>
          <w:rFonts w:ascii="Times New Roman" w:hAnsi="Times New Roman" w:cs="Times New Roman"/>
          <w:sz w:val="24"/>
          <w:szCs w:val="24"/>
        </w:rPr>
        <w:t>. See “Materials” folder for the pretest.</w:t>
      </w:r>
    </w:p>
    <w:p w14:paraId="711D4B2D" w14:textId="0303D66A" w:rsidR="004A2CC8" w:rsidRPr="00327A89" w:rsidRDefault="004A2CC8" w:rsidP="00B726D7">
      <w:pPr>
        <w:autoSpaceDE w:val="0"/>
        <w:autoSpaceDN w:val="0"/>
        <w:adjustRightInd w:val="0"/>
        <w:spacing w:after="0" w:line="480" w:lineRule="auto"/>
        <w:ind w:firstLine="720"/>
        <w:jc w:val="both"/>
        <w:rPr>
          <w:rFonts w:ascii="Times New Roman" w:hAnsi="Times New Roman" w:cs="Times New Roman"/>
          <w:i/>
          <w:iCs/>
          <w:sz w:val="24"/>
          <w:szCs w:val="24"/>
        </w:rPr>
      </w:pPr>
      <w:r w:rsidRPr="00327A89">
        <w:rPr>
          <w:rFonts w:ascii="Times New Roman" w:hAnsi="Times New Roman" w:cs="Times New Roman"/>
          <w:sz w:val="24"/>
          <w:szCs w:val="24"/>
        </w:rPr>
        <w:t>Results</w:t>
      </w:r>
    </w:p>
    <w:p w14:paraId="0BD9F024" w14:textId="7192710A" w:rsidR="004A2CC8" w:rsidRDefault="004A2CC8" w:rsidP="004A2CC8">
      <w:pPr>
        <w:autoSpaceDE w:val="0"/>
        <w:autoSpaceDN w:val="0"/>
        <w:adjustRightInd w:val="0"/>
        <w:spacing w:after="0" w:line="480" w:lineRule="auto"/>
        <w:ind w:firstLine="720"/>
        <w:jc w:val="both"/>
        <w:rPr>
          <w:rFonts w:ascii="Times New Roman" w:hAnsi="Times New Roman" w:cs="Times New Roman"/>
          <w:sz w:val="24"/>
          <w:szCs w:val="24"/>
          <w:shd w:val="clear" w:color="auto" w:fill="FFFFFF"/>
        </w:rPr>
      </w:pPr>
      <w:r w:rsidRPr="00327A89">
        <w:rPr>
          <w:rFonts w:ascii="Times New Roman" w:hAnsi="Times New Roman" w:cs="Times New Roman"/>
          <w:sz w:val="24"/>
          <w:szCs w:val="24"/>
        </w:rPr>
        <w:t>As expected, the scenarios triggered high greed scores for the four groups: hidden fees (</w:t>
      </w:r>
      <w:r w:rsidRPr="00327A89">
        <w:rPr>
          <w:rFonts w:ascii="Times New Roman" w:hAnsi="Times New Roman" w:cs="Times New Roman"/>
          <w:sz w:val="24"/>
          <w:szCs w:val="24"/>
          <w:shd w:val="clear" w:color="auto" w:fill="FFFFFF"/>
        </w:rPr>
        <w:t>x̅ = 6.26), use of substandard construction materials (x̅ = 6.161), inconsiderate rent increase (x̅ = 5.497), and unfair competition (x̅ = 4.816) (maximum possible score = 7).</w:t>
      </w:r>
      <w:r w:rsidRPr="00327A89">
        <w:rPr>
          <w:rFonts w:ascii="Times New Roman" w:hAnsi="Times New Roman" w:cs="Times New Roman"/>
          <w:sz w:val="24"/>
          <w:szCs w:val="24"/>
        </w:rPr>
        <w:t xml:space="preserve"> Normality tests were performed in the following order: visual tests, particularly density plots and QQ plots, and the Shapiro–Wilk test. Data distributions were not normal for any group (p &lt; 0.05 for each scenario); </w:t>
      </w:r>
      <w:r w:rsidRPr="00327A89">
        <w:rPr>
          <w:rFonts w:ascii="Times New Roman" w:hAnsi="Times New Roman" w:cs="Times New Roman"/>
          <w:sz w:val="24"/>
          <w:szCs w:val="24"/>
        </w:rPr>
        <w:lastRenderedPageBreak/>
        <w:t xml:space="preserve">therefore, we used the Kruskal–Wallis test to establish whether there was any significant difference between the greed score means </w:t>
      </w:r>
      <w:r w:rsidRPr="00327A89">
        <w:rPr>
          <w:rFonts w:ascii="Times New Roman" w:hAnsi="Times New Roman" w:cs="Times New Roman"/>
          <w:sz w:val="24"/>
          <w:szCs w:val="24"/>
        </w:rPr>
        <w:fldChar w:fldCharType="begin"/>
      </w:r>
      <w:r w:rsidRPr="00327A89">
        <w:rPr>
          <w:rFonts w:ascii="Times New Roman" w:hAnsi="Times New Roman" w:cs="Times New Roman"/>
          <w:sz w:val="24"/>
          <w:szCs w:val="24"/>
        </w:rPr>
        <w:instrText xml:space="preserve"> ADDIN EN.CITE &lt;EndNote&gt;&lt;Cite&gt;&lt;Author&gt;McKight&lt;/Author&gt;&lt;Year&gt;2010&lt;/Year&gt;&lt;RecNum&gt;252&lt;/RecNum&gt;&lt;DisplayText&gt;(Kruskal &amp;amp; Wallis, 1952; McKight &amp;amp; Najab, 2010)&lt;/DisplayText&gt;&lt;record&gt;&lt;rec-number&gt;252&lt;/rec-number&gt;&lt;foreign-keys&gt;&lt;key app="EN" db-id="f9rw9xa992padee9txkp225xezxtwx2atve0" timestamp="1628463368"&gt;252&lt;/key&gt;&lt;/foreign-keys&gt;&lt;ref-type name="Book Section"&gt;5&lt;/ref-type&gt;&lt;contributors&gt;&lt;authors&gt;&lt;author&gt;McKight, Patrick E.&lt;/author&gt;&lt;author&gt;Najab, Julius&lt;/author&gt;&lt;/authors&gt;&lt;/contributors&gt;&lt;titles&gt;&lt;title&gt;Kruskal-Wallis Test&lt;/title&gt;&lt;secondary-title&gt;The Corsini Encyclopedia of Psychology&lt;/secondary-title&gt;&lt;/titles&gt;&lt;pages&gt;1-1&lt;/pages&gt;&lt;dates&gt;&lt;year&gt;2010&lt;/year&gt;&lt;/dates&gt;&lt;urls&gt;&lt;related-urls&gt;&lt;url&gt;https://onlinelibrary.wiley.com/doi/abs/10.1002/9780470479216.corpsy0491&lt;/url&gt;&lt;/related-urls&gt;&lt;/urls&gt;&lt;electronic-resource-num&gt;https://doi.org/10.1002/9780470479216.corpsy0491&lt;/electronic-resource-num&gt;&lt;/record&gt;&lt;/Cite&gt;&lt;Cite&gt;&lt;Author&gt;Kruskal&lt;/Author&gt;&lt;Year&gt;1952&lt;/Year&gt;&lt;RecNum&gt;253&lt;/RecNum&gt;&lt;record&gt;&lt;rec-number&gt;253&lt;/rec-number&gt;&lt;foreign-keys&gt;&lt;key app="EN" db-id="f9rw9xa992padee9txkp225xezxtwx2atve0" timestamp="1628463448"&gt;253&lt;/key&gt;&lt;/foreign-keys&gt;&lt;ref-type name="Journal Article"&gt;17&lt;/ref-type&gt;&lt;contributors&gt;&lt;authors&gt;&lt;author&gt;Kruskal, William H&lt;/author&gt;&lt;author&gt;Wallis, W Allen&lt;/author&gt;&lt;/authors&gt;&lt;/contributors&gt;&lt;titles&gt;&lt;title&gt;Use of ranks in one-criterion variance analysis&lt;/title&gt;&lt;secondary-title&gt;Journal of the American statistical Association&lt;/secondary-title&gt;&lt;/titles&gt;&lt;periodical&gt;&lt;full-title&gt;Journal of the American statistical Association&lt;/full-title&gt;&lt;/periodical&gt;&lt;pages&gt;583-621&lt;/pages&gt;&lt;volume&gt;47&lt;/volume&gt;&lt;number&gt;260&lt;/number&gt;&lt;dates&gt;&lt;year&gt;1952&lt;/year&gt;&lt;/dates&gt;&lt;isbn&gt;0162-1459&lt;/isbn&gt;&lt;urls&gt;&lt;/urls&gt;&lt;electronic-resource-num&gt;https://doi.org/10.2307/2280779&lt;/electronic-resource-num&gt;&lt;/record&gt;&lt;/Cite&gt;&lt;/EndNote&gt;</w:instrText>
      </w:r>
      <w:r w:rsidRPr="00327A89">
        <w:rPr>
          <w:rFonts w:ascii="Times New Roman" w:hAnsi="Times New Roman" w:cs="Times New Roman"/>
          <w:sz w:val="24"/>
          <w:szCs w:val="24"/>
        </w:rPr>
        <w:fldChar w:fldCharType="separate"/>
      </w:r>
      <w:r w:rsidRPr="00327A89">
        <w:rPr>
          <w:rFonts w:ascii="Times New Roman" w:hAnsi="Times New Roman" w:cs="Times New Roman"/>
          <w:sz w:val="24"/>
          <w:szCs w:val="24"/>
        </w:rPr>
        <w:t>(Kruskal &amp; Wallis, 1952; McKight &amp; Najab, 2010)</w:t>
      </w:r>
      <w:r w:rsidRPr="00327A89">
        <w:rPr>
          <w:rFonts w:ascii="Times New Roman" w:hAnsi="Times New Roman" w:cs="Times New Roman"/>
          <w:sz w:val="24"/>
          <w:szCs w:val="24"/>
        </w:rPr>
        <w:fldChar w:fldCharType="end"/>
      </w:r>
      <w:r w:rsidRPr="00327A89">
        <w:rPr>
          <w:rFonts w:ascii="Times New Roman" w:hAnsi="Times New Roman" w:cs="Times New Roman"/>
          <w:sz w:val="24"/>
          <w:szCs w:val="24"/>
        </w:rPr>
        <w:t>. The Kruskal–Wallis test was significant (</w:t>
      </w:r>
      <w:proofErr w:type="gramStart"/>
      <w:r w:rsidRPr="00327A89">
        <w:rPr>
          <w:rFonts w:ascii="Times New Roman" w:hAnsi="Times New Roman" w:cs="Times New Roman"/>
          <w:sz w:val="24"/>
          <w:szCs w:val="24"/>
        </w:rPr>
        <w:t>H(</w:t>
      </w:r>
      <w:proofErr w:type="gramEnd"/>
      <w:r w:rsidRPr="00327A89">
        <w:rPr>
          <w:rFonts w:ascii="Times New Roman" w:hAnsi="Times New Roman" w:cs="Times New Roman"/>
          <w:sz w:val="24"/>
          <w:szCs w:val="24"/>
        </w:rPr>
        <w:t xml:space="preserve">3) = 28.73, p = 0.00), indicating that the means were significantly different. To ascertain which means were different, a </w:t>
      </w:r>
      <w:r w:rsidRPr="00327A89">
        <w:rPr>
          <w:rFonts w:ascii="Times New Roman" w:hAnsi="Times New Roman" w:cs="Times New Roman"/>
          <w:i/>
          <w:iCs/>
          <w:sz w:val="24"/>
          <w:szCs w:val="24"/>
        </w:rPr>
        <w:t>post-hoc</w:t>
      </w:r>
      <w:r w:rsidRPr="00327A89">
        <w:rPr>
          <w:rFonts w:ascii="Times New Roman" w:hAnsi="Times New Roman" w:cs="Times New Roman"/>
          <w:sz w:val="24"/>
          <w:szCs w:val="24"/>
        </w:rPr>
        <w:t xml:space="preserve"> Dunn’s test, employing </w:t>
      </w:r>
      <w:proofErr w:type="spellStart"/>
      <w:r w:rsidRPr="00327A89">
        <w:rPr>
          <w:rFonts w:ascii="Times New Roman" w:hAnsi="Times New Roman" w:cs="Times New Roman"/>
          <w:sz w:val="24"/>
          <w:szCs w:val="24"/>
        </w:rPr>
        <w:t>Benjamini</w:t>
      </w:r>
      <w:proofErr w:type="spellEnd"/>
      <w:r w:rsidRPr="00327A89">
        <w:rPr>
          <w:rFonts w:ascii="Times New Roman" w:hAnsi="Times New Roman" w:cs="Times New Roman"/>
          <w:sz w:val="24"/>
          <w:szCs w:val="24"/>
        </w:rPr>
        <w:t xml:space="preserve">–Hochberg adjusted p-values </w:t>
      </w:r>
      <w:r w:rsidRPr="00327A89">
        <w:rPr>
          <w:rFonts w:ascii="Times New Roman" w:hAnsi="Times New Roman" w:cs="Times New Roman"/>
          <w:sz w:val="24"/>
          <w:szCs w:val="24"/>
        </w:rPr>
        <w:fldChar w:fldCharType="begin"/>
      </w:r>
      <w:r w:rsidRPr="00327A89">
        <w:rPr>
          <w:rFonts w:ascii="Times New Roman" w:hAnsi="Times New Roman" w:cs="Times New Roman"/>
          <w:sz w:val="24"/>
          <w:szCs w:val="24"/>
        </w:rPr>
        <w:instrText xml:space="preserve"> ADDIN EN.CITE &lt;EndNote&gt;&lt;Cite&gt;&lt;Author&gt;Benjamini&lt;/Author&gt;&lt;Year&gt;1995&lt;/Year&gt;&lt;RecNum&gt;254&lt;/RecNum&gt;&lt;DisplayText&gt;(Benjamini &amp;amp; Hochberg, 1995)&lt;/DisplayText&gt;&lt;record&gt;&lt;rec-number&gt;254&lt;/rec-number&gt;&lt;foreign-keys&gt;&lt;key app="EN" db-id="f9rw9xa992padee9txkp225xezxtwx2atve0" timestamp="1628463820"&gt;254&lt;/key&gt;&lt;/foreign-keys&gt;&lt;ref-type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values&lt;/keyword&gt;&lt;keyword&gt;Probability and statistics&lt;/keyword&gt;&lt;keyword&gt;Random variables&lt;/keyword&gt;&lt;keyword&gt;Sciences and techniques of general use&lt;/keyword&gt;&lt;keyword&gt;Statistics&lt;/keyword&gt;&lt;/keywords&gt;&lt;dates&gt;&lt;year&gt;1995&lt;/year&gt;&lt;/dates&gt;&lt;pub-location&gt;London&lt;/pub-location&gt;&lt;publisher&gt;London: Blackwell Publishers&lt;/publisher&gt;&lt;isbn&gt;0035-9246&lt;/isbn&gt;&lt;urls&gt;&lt;/urls&gt;&lt;electronic-resource-num&gt;https://doi.org/10.1111/j.2517-6161.1995.tb02031.x&lt;/electronic-resource-num&gt;&lt;/record&gt;&lt;/Cite&gt;&lt;/EndNote&gt;</w:instrText>
      </w:r>
      <w:r w:rsidRPr="00327A89">
        <w:rPr>
          <w:rFonts w:ascii="Times New Roman" w:hAnsi="Times New Roman" w:cs="Times New Roman"/>
          <w:sz w:val="24"/>
          <w:szCs w:val="24"/>
        </w:rPr>
        <w:fldChar w:fldCharType="separate"/>
      </w:r>
      <w:r w:rsidRPr="00327A89">
        <w:rPr>
          <w:rFonts w:ascii="Times New Roman" w:hAnsi="Times New Roman" w:cs="Times New Roman"/>
          <w:sz w:val="24"/>
          <w:szCs w:val="24"/>
        </w:rPr>
        <w:t>(Benjamini &amp; Hochberg, 1995)</w:t>
      </w:r>
      <w:r w:rsidRPr="00327A89">
        <w:rPr>
          <w:rFonts w:ascii="Times New Roman" w:hAnsi="Times New Roman" w:cs="Times New Roman"/>
          <w:sz w:val="24"/>
          <w:szCs w:val="24"/>
        </w:rPr>
        <w:fldChar w:fldCharType="end"/>
      </w:r>
      <w:r w:rsidRPr="00327A89">
        <w:rPr>
          <w:rFonts w:ascii="Times New Roman" w:hAnsi="Times New Roman" w:cs="Times New Roman"/>
          <w:sz w:val="24"/>
          <w:szCs w:val="24"/>
        </w:rPr>
        <w:t>, was used. This last test established that the means of hidden fees (</w:t>
      </w:r>
      <w:r w:rsidRPr="00327A89">
        <w:rPr>
          <w:rFonts w:ascii="Times New Roman" w:hAnsi="Times New Roman" w:cs="Times New Roman"/>
          <w:sz w:val="24"/>
          <w:szCs w:val="24"/>
          <w:shd w:val="clear" w:color="auto" w:fill="FFFFFF"/>
        </w:rPr>
        <w:t>x̅ = 6.26) and the use of substandard construction materials (x̅ = 6.161) were not significantly different from each other (p = 0.71), but each was significantly different from the means of the other two scenarios (p values &lt; 0.05)—inconsiderate rent increase (x̅ = 5.497) and unfair competition (x̅ = 4.816). Based on the analyses, we selected the substandard construction materials scenario for our study.</w:t>
      </w:r>
    </w:p>
    <w:p w14:paraId="1A077D67" w14:textId="77777777" w:rsidR="00A00F31" w:rsidRPr="00327A89" w:rsidRDefault="00A00F31" w:rsidP="004A2CC8">
      <w:pPr>
        <w:autoSpaceDE w:val="0"/>
        <w:autoSpaceDN w:val="0"/>
        <w:adjustRightInd w:val="0"/>
        <w:spacing w:after="0" w:line="480" w:lineRule="auto"/>
        <w:ind w:firstLine="720"/>
        <w:jc w:val="both"/>
        <w:rPr>
          <w:rFonts w:ascii="Times New Roman" w:hAnsi="Times New Roman" w:cs="Times New Roman"/>
          <w:b/>
          <w:bCs/>
          <w:sz w:val="24"/>
          <w:szCs w:val="24"/>
          <w:shd w:val="clear" w:color="auto" w:fill="FFFFFF"/>
        </w:rPr>
      </w:pPr>
    </w:p>
    <w:p w14:paraId="79B068AC" w14:textId="4A25266C" w:rsidR="00327A89" w:rsidRPr="00327A89" w:rsidRDefault="00327A89" w:rsidP="00327A89">
      <w:pPr>
        <w:autoSpaceDE w:val="0"/>
        <w:autoSpaceDN w:val="0"/>
        <w:adjustRightInd w:val="0"/>
        <w:spacing w:after="0" w:line="480" w:lineRule="auto"/>
        <w:ind w:firstLine="720"/>
        <w:jc w:val="center"/>
        <w:rPr>
          <w:rFonts w:ascii="Times New Roman" w:hAnsi="Times New Roman" w:cs="Times New Roman"/>
          <w:b/>
          <w:bCs/>
          <w:sz w:val="24"/>
          <w:szCs w:val="24"/>
          <w:shd w:val="clear" w:color="auto" w:fill="FFFFFF"/>
        </w:rPr>
      </w:pPr>
      <w:r w:rsidRPr="00327A89">
        <w:rPr>
          <w:rFonts w:ascii="Times New Roman" w:hAnsi="Times New Roman" w:cs="Times New Roman"/>
          <w:b/>
          <w:bCs/>
          <w:sz w:val="24"/>
          <w:szCs w:val="24"/>
          <w:shd w:val="clear" w:color="auto" w:fill="FFFFFF"/>
        </w:rPr>
        <w:t>References</w:t>
      </w:r>
    </w:p>
    <w:p w14:paraId="18A75145" w14:textId="694B0AF0" w:rsidR="00327A89" w:rsidRPr="00327A89" w:rsidRDefault="00327A89" w:rsidP="00327A89">
      <w:pPr>
        <w:pStyle w:val="EndNoteBibliography"/>
        <w:spacing w:after="0"/>
        <w:ind w:firstLine="851"/>
        <w:rPr>
          <w:szCs w:val="24"/>
        </w:rPr>
      </w:pPr>
      <w:r w:rsidRPr="00327A89">
        <w:rPr>
          <w:szCs w:val="24"/>
        </w:rPr>
        <w:t xml:space="preserve">Benjamini, Y., &amp; Hochberg, Y. (1995). Controlling the False Discovery Rate: A Practical and Powerful Approach to Multiple Testing. </w:t>
      </w:r>
      <w:r w:rsidRPr="00327A89">
        <w:rPr>
          <w:i/>
          <w:szCs w:val="24"/>
        </w:rPr>
        <w:t>Journal of the Royal Statistical Society. Series B, Methodological</w:t>
      </w:r>
      <w:r w:rsidRPr="00327A89">
        <w:rPr>
          <w:szCs w:val="24"/>
        </w:rPr>
        <w:t>,</w:t>
      </w:r>
      <w:r w:rsidRPr="00327A89">
        <w:rPr>
          <w:i/>
          <w:szCs w:val="24"/>
        </w:rPr>
        <w:t xml:space="preserve"> 57</w:t>
      </w:r>
      <w:r w:rsidRPr="00327A89">
        <w:rPr>
          <w:szCs w:val="24"/>
        </w:rPr>
        <w:t xml:space="preserve">(1), 289-300. </w:t>
      </w:r>
      <w:hyperlink r:id="rId5" w:history="1">
        <w:r w:rsidRPr="00327A89">
          <w:rPr>
            <w:rStyle w:val="Hyperlink"/>
            <w:szCs w:val="24"/>
          </w:rPr>
          <w:t>https://doi.org/10.1111/j.2517-6161.1995.tb02031.x</w:t>
        </w:r>
      </w:hyperlink>
    </w:p>
    <w:p w14:paraId="15216038" w14:textId="069D3686" w:rsidR="00327A89" w:rsidRPr="00327A89" w:rsidRDefault="00327A89" w:rsidP="00327A89">
      <w:pPr>
        <w:autoSpaceDE w:val="0"/>
        <w:autoSpaceDN w:val="0"/>
        <w:adjustRightInd w:val="0"/>
        <w:spacing w:after="0" w:line="480" w:lineRule="auto"/>
        <w:ind w:firstLine="720"/>
        <w:jc w:val="both"/>
        <w:rPr>
          <w:rFonts w:ascii="Times New Roman" w:hAnsi="Times New Roman" w:cs="Times New Roman"/>
          <w:sz w:val="24"/>
          <w:szCs w:val="24"/>
        </w:rPr>
      </w:pPr>
      <w:r w:rsidRPr="00327A89">
        <w:rPr>
          <w:rFonts w:ascii="Times New Roman" w:hAnsi="Times New Roman" w:cs="Times New Roman"/>
          <w:sz w:val="24"/>
          <w:szCs w:val="24"/>
        </w:rPr>
        <w:t xml:space="preserve">Khan, L. M. (2017). Amazon's Antitrust Paradox. </w:t>
      </w:r>
      <w:r w:rsidRPr="00327A89">
        <w:rPr>
          <w:rFonts w:ascii="Times New Roman" w:hAnsi="Times New Roman" w:cs="Times New Roman"/>
          <w:i/>
          <w:sz w:val="24"/>
          <w:szCs w:val="24"/>
        </w:rPr>
        <w:t>The Yale law journal</w:t>
      </w:r>
      <w:r w:rsidRPr="00327A89">
        <w:rPr>
          <w:rFonts w:ascii="Times New Roman" w:hAnsi="Times New Roman" w:cs="Times New Roman"/>
          <w:sz w:val="24"/>
          <w:szCs w:val="24"/>
        </w:rPr>
        <w:t>,</w:t>
      </w:r>
      <w:r w:rsidRPr="00327A89">
        <w:rPr>
          <w:rFonts w:ascii="Times New Roman" w:hAnsi="Times New Roman" w:cs="Times New Roman"/>
          <w:i/>
          <w:sz w:val="24"/>
          <w:szCs w:val="24"/>
        </w:rPr>
        <w:t xml:space="preserve"> 126</w:t>
      </w:r>
      <w:r w:rsidRPr="00327A89">
        <w:rPr>
          <w:rFonts w:ascii="Times New Roman" w:hAnsi="Times New Roman" w:cs="Times New Roman"/>
          <w:sz w:val="24"/>
          <w:szCs w:val="24"/>
        </w:rPr>
        <w:t>(3), 710-805.</w:t>
      </w:r>
    </w:p>
    <w:p w14:paraId="5841543F" w14:textId="1526113B" w:rsidR="00327A89" w:rsidRPr="00327A89" w:rsidRDefault="00327A89" w:rsidP="00327A89">
      <w:pPr>
        <w:autoSpaceDE w:val="0"/>
        <w:autoSpaceDN w:val="0"/>
        <w:adjustRightInd w:val="0"/>
        <w:spacing w:after="0" w:line="480" w:lineRule="auto"/>
        <w:ind w:firstLine="720"/>
        <w:jc w:val="both"/>
        <w:rPr>
          <w:rFonts w:ascii="Times New Roman" w:hAnsi="Times New Roman" w:cs="Times New Roman"/>
          <w:noProof/>
          <w:sz w:val="24"/>
          <w:szCs w:val="24"/>
        </w:rPr>
      </w:pPr>
      <w:r w:rsidRPr="00327A89">
        <w:rPr>
          <w:rFonts w:ascii="Times New Roman" w:hAnsi="Times New Roman" w:cs="Times New Roman"/>
          <w:noProof/>
          <w:sz w:val="24"/>
          <w:szCs w:val="24"/>
        </w:rPr>
        <w:t xml:space="preserve">Kruskal, W. H., &amp; Wallis, W. A. (1952). Use of ranks in one-criterion variance analysis. </w:t>
      </w:r>
      <w:r w:rsidRPr="00327A89">
        <w:rPr>
          <w:rFonts w:ascii="Times New Roman" w:hAnsi="Times New Roman" w:cs="Times New Roman"/>
          <w:i/>
          <w:noProof/>
          <w:sz w:val="24"/>
          <w:szCs w:val="24"/>
        </w:rPr>
        <w:t>Journal of the American statistical Association</w:t>
      </w:r>
      <w:r w:rsidRPr="00327A89">
        <w:rPr>
          <w:rFonts w:ascii="Times New Roman" w:hAnsi="Times New Roman" w:cs="Times New Roman"/>
          <w:noProof/>
          <w:sz w:val="24"/>
          <w:szCs w:val="24"/>
        </w:rPr>
        <w:t>,</w:t>
      </w:r>
      <w:r w:rsidRPr="00327A89">
        <w:rPr>
          <w:rFonts w:ascii="Times New Roman" w:hAnsi="Times New Roman" w:cs="Times New Roman"/>
          <w:i/>
          <w:noProof/>
          <w:sz w:val="24"/>
          <w:szCs w:val="24"/>
        </w:rPr>
        <w:t xml:space="preserve"> 47</w:t>
      </w:r>
      <w:r w:rsidRPr="00327A89">
        <w:rPr>
          <w:rFonts w:ascii="Times New Roman" w:hAnsi="Times New Roman" w:cs="Times New Roman"/>
          <w:noProof/>
          <w:sz w:val="24"/>
          <w:szCs w:val="24"/>
        </w:rPr>
        <w:t xml:space="preserve">(260), 583-621. </w:t>
      </w:r>
      <w:hyperlink r:id="rId6" w:history="1">
        <w:r w:rsidRPr="00327A89">
          <w:rPr>
            <w:rStyle w:val="Hyperlink"/>
            <w:rFonts w:ascii="Times New Roman" w:hAnsi="Times New Roman" w:cs="Times New Roman"/>
            <w:noProof/>
            <w:sz w:val="24"/>
            <w:szCs w:val="24"/>
          </w:rPr>
          <w:t>https://doi.org/10.2307/2280779</w:t>
        </w:r>
      </w:hyperlink>
    </w:p>
    <w:p w14:paraId="706FC4F2" w14:textId="0AE360D1" w:rsidR="00327A89" w:rsidRPr="00327A89" w:rsidRDefault="00327A89" w:rsidP="00327A89">
      <w:pPr>
        <w:autoSpaceDE w:val="0"/>
        <w:autoSpaceDN w:val="0"/>
        <w:adjustRightInd w:val="0"/>
        <w:spacing w:after="0" w:line="480" w:lineRule="auto"/>
        <w:ind w:firstLine="720"/>
        <w:jc w:val="both"/>
        <w:rPr>
          <w:rFonts w:ascii="Times New Roman" w:hAnsi="Times New Roman" w:cs="Times New Roman"/>
          <w:sz w:val="24"/>
          <w:szCs w:val="24"/>
        </w:rPr>
      </w:pPr>
      <w:r w:rsidRPr="00327A89">
        <w:rPr>
          <w:rFonts w:ascii="Times New Roman" w:hAnsi="Times New Roman" w:cs="Times New Roman"/>
          <w:noProof/>
          <w:sz w:val="24"/>
          <w:szCs w:val="24"/>
        </w:rPr>
        <w:t>McKight, P. E., &amp; Najab, J. (2010). Kruskal-Wallis Test  (</w:t>
      </w:r>
      <w:r w:rsidRPr="00327A89">
        <w:rPr>
          <w:rFonts w:ascii="Times New Roman" w:hAnsi="Times New Roman" w:cs="Times New Roman"/>
          <w:i/>
          <w:noProof/>
          <w:sz w:val="24"/>
          <w:szCs w:val="24"/>
        </w:rPr>
        <w:t>The Corsini Encyclopedia of Psychology</w:t>
      </w:r>
      <w:r w:rsidRPr="00327A89">
        <w:rPr>
          <w:rFonts w:ascii="Times New Roman" w:hAnsi="Times New Roman" w:cs="Times New Roman"/>
          <w:noProof/>
          <w:sz w:val="24"/>
          <w:szCs w:val="24"/>
        </w:rPr>
        <w:t xml:space="preserve"> (pp. 1-1). </w:t>
      </w:r>
      <w:hyperlink r:id="rId7" w:history="1">
        <w:r w:rsidRPr="00327A89">
          <w:rPr>
            <w:rStyle w:val="Hyperlink"/>
            <w:rFonts w:ascii="Times New Roman" w:hAnsi="Times New Roman" w:cs="Times New Roman"/>
            <w:noProof/>
            <w:sz w:val="24"/>
            <w:szCs w:val="24"/>
          </w:rPr>
          <w:t>https://doi.org/https://doi.org/10.1002/9780470479216.corpsy0491</w:t>
        </w:r>
      </w:hyperlink>
    </w:p>
    <w:p w14:paraId="397962EB" w14:textId="7664D3E1" w:rsidR="00327A89" w:rsidRPr="00327A89" w:rsidRDefault="00327A89" w:rsidP="00327A89">
      <w:pPr>
        <w:autoSpaceDE w:val="0"/>
        <w:autoSpaceDN w:val="0"/>
        <w:adjustRightInd w:val="0"/>
        <w:spacing w:after="0" w:line="480" w:lineRule="auto"/>
        <w:ind w:firstLine="720"/>
        <w:jc w:val="both"/>
        <w:rPr>
          <w:rFonts w:ascii="Times New Roman" w:hAnsi="Times New Roman" w:cs="Times New Roman"/>
          <w:b/>
          <w:bCs/>
          <w:sz w:val="24"/>
          <w:szCs w:val="24"/>
          <w:shd w:val="clear" w:color="auto" w:fill="FFFFFF"/>
        </w:rPr>
      </w:pPr>
      <w:proofErr w:type="spellStart"/>
      <w:r w:rsidRPr="00327A89">
        <w:rPr>
          <w:rFonts w:ascii="Times New Roman" w:hAnsi="Times New Roman" w:cs="Times New Roman"/>
          <w:sz w:val="24"/>
          <w:szCs w:val="24"/>
        </w:rPr>
        <w:lastRenderedPageBreak/>
        <w:t>Oloyede</w:t>
      </w:r>
      <w:proofErr w:type="spellEnd"/>
      <w:r w:rsidRPr="00327A89">
        <w:rPr>
          <w:rFonts w:ascii="Times New Roman" w:hAnsi="Times New Roman" w:cs="Times New Roman"/>
          <w:sz w:val="24"/>
          <w:szCs w:val="24"/>
        </w:rPr>
        <w:t xml:space="preserve">, S. A., </w:t>
      </w:r>
      <w:proofErr w:type="spellStart"/>
      <w:r w:rsidRPr="00327A89">
        <w:rPr>
          <w:rFonts w:ascii="Times New Roman" w:hAnsi="Times New Roman" w:cs="Times New Roman"/>
          <w:sz w:val="24"/>
          <w:szCs w:val="24"/>
        </w:rPr>
        <w:t>Omoogun</w:t>
      </w:r>
      <w:proofErr w:type="spellEnd"/>
      <w:r w:rsidRPr="00327A89">
        <w:rPr>
          <w:rFonts w:ascii="Times New Roman" w:hAnsi="Times New Roman" w:cs="Times New Roman"/>
          <w:sz w:val="24"/>
          <w:szCs w:val="24"/>
        </w:rPr>
        <w:t xml:space="preserve">, C. B., &amp; </w:t>
      </w:r>
      <w:proofErr w:type="spellStart"/>
      <w:r w:rsidRPr="00327A89">
        <w:rPr>
          <w:rFonts w:ascii="Times New Roman" w:hAnsi="Times New Roman" w:cs="Times New Roman"/>
          <w:sz w:val="24"/>
          <w:szCs w:val="24"/>
        </w:rPr>
        <w:t>Akinjare</w:t>
      </w:r>
      <w:proofErr w:type="spellEnd"/>
      <w:r w:rsidRPr="00327A89">
        <w:rPr>
          <w:rFonts w:ascii="Times New Roman" w:hAnsi="Times New Roman" w:cs="Times New Roman"/>
          <w:sz w:val="24"/>
          <w:szCs w:val="24"/>
        </w:rPr>
        <w:t xml:space="preserve">, O. A. (2010). Tackling Causes of Frequent Building Collapse in Nigeria. </w:t>
      </w:r>
      <w:r w:rsidRPr="00327A89">
        <w:rPr>
          <w:rFonts w:ascii="Times New Roman" w:hAnsi="Times New Roman" w:cs="Times New Roman"/>
          <w:i/>
          <w:sz w:val="24"/>
          <w:szCs w:val="24"/>
        </w:rPr>
        <w:t>Journal of sustainable development</w:t>
      </w:r>
      <w:r w:rsidRPr="00327A89">
        <w:rPr>
          <w:rFonts w:ascii="Times New Roman" w:hAnsi="Times New Roman" w:cs="Times New Roman"/>
          <w:sz w:val="24"/>
          <w:szCs w:val="24"/>
        </w:rPr>
        <w:t>,</w:t>
      </w:r>
      <w:r w:rsidRPr="00327A89">
        <w:rPr>
          <w:rFonts w:ascii="Times New Roman" w:hAnsi="Times New Roman" w:cs="Times New Roman"/>
          <w:i/>
          <w:sz w:val="24"/>
          <w:szCs w:val="24"/>
        </w:rPr>
        <w:t xml:space="preserve"> 3</w:t>
      </w:r>
      <w:r w:rsidRPr="00327A89">
        <w:rPr>
          <w:rFonts w:ascii="Times New Roman" w:hAnsi="Times New Roman" w:cs="Times New Roman"/>
          <w:sz w:val="24"/>
          <w:szCs w:val="24"/>
        </w:rPr>
        <w:t xml:space="preserve">(3). </w:t>
      </w:r>
      <w:hyperlink r:id="rId8" w:history="1">
        <w:r w:rsidRPr="00327A89">
          <w:rPr>
            <w:rStyle w:val="Hyperlink"/>
            <w:rFonts w:ascii="Times New Roman" w:hAnsi="Times New Roman" w:cs="Times New Roman"/>
            <w:sz w:val="24"/>
            <w:szCs w:val="24"/>
          </w:rPr>
          <w:t>https://doi.org/10.5539/jsd.v3n3p127</w:t>
        </w:r>
      </w:hyperlink>
    </w:p>
    <w:p w14:paraId="0CBE7363" w14:textId="77777777" w:rsidR="00327A89" w:rsidRPr="00327A89" w:rsidRDefault="00327A89" w:rsidP="00327A89">
      <w:pPr>
        <w:autoSpaceDE w:val="0"/>
        <w:autoSpaceDN w:val="0"/>
        <w:adjustRightInd w:val="0"/>
        <w:spacing w:after="0" w:line="480" w:lineRule="auto"/>
        <w:ind w:firstLine="720"/>
        <w:jc w:val="both"/>
        <w:rPr>
          <w:rStyle w:val="Hyperlink"/>
          <w:rFonts w:ascii="Times New Roman" w:hAnsi="Times New Roman" w:cs="Times New Roman"/>
          <w:sz w:val="24"/>
          <w:szCs w:val="24"/>
        </w:rPr>
      </w:pPr>
      <w:r w:rsidRPr="00327A89">
        <w:rPr>
          <w:rFonts w:ascii="Times New Roman" w:hAnsi="Times New Roman" w:cs="Times New Roman"/>
          <w:sz w:val="24"/>
          <w:szCs w:val="24"/>
        </w:rPr>
        <w:t xml:space="preserve">Taylor, B. (2019, 07/10/2019). </w:t>
      </w:r>
      <w:r w:rsidRPr="00327A89">
        <w:rPr>
          <w:rFonts w:ascii="Times New Roman" w:hAnsi="Times New Roman" w:cs="Times New Roman"/>
          <w:i/>
          <w:sz w:val="24"/>
          <w:szCs w:val="24"/>
        </w:rPr>
        <w:t>The Costs of Investing</w:t>
      </w:r>
      <w:r w:rsidRPr="00327A89">
        <w:rPr>
          <w:rFonts w:ascii="Times New Roman" w:hAnsi="Times New Roman" w:cs="Times New Roman"/>
          <w:sz w:val="24"/>
          <w:szCs w:val="24"/>
        </w:rPr>
        <w:t xml:space="preserve">. Retrieved 03/25 from </w:t>
      </w:r>
      <w:hyperlink r:id="rId9" w:history="1">
        <w:r w:rsidRPr="00327A89">
          <w:rPr>
            <w:rStyle w:val="Hyperlink"/>
            <w:rFonts w:ascii="Times New Roman" w:hAnsi="Times New Roman" w:cs="Times New Roman"/>
            <w:sz w:val="24"/>
            <w:szCs w:val="24"/>
          </w:rPr>
          <w:t>https://www.investopedia.com/investing/costs-investing/</w:t>
        </w:r>
      </w:hyperlink>
    </w:p>
    <w:p w14:paraId="7FB2092B" w14:textId="3F1466F4" w:rsidR="00327A89" w:rsidRPr="00327A89" w:rsidRDefault="00327A89" w:rsidP="00327A89">
      <w:pPr>
        <w:autoSpaceDE w:val="0"/>
        <w:autoSpaceDN w:val="0"/>
        <w:adjustRightInd w:val="0"/>
        <w:spacing w:after="0" w:line="480" w:lineRule="auto"/>
        <w:ind w:firstLine="720"/>
        <w:jc w:val="both"/>
        <w:rPr>
          <w:rFonts w:ascii="Times New Roman" w:hAnsi="Times New Roman" w:cs="Times New Roman"/>
          <w:color w:val="0000FF"/>
          <w:sz w:val="24"/>
          <w:szCs w:val="24"/>
          <w:u w:val="single"/>
        </w:rPr>
      </w:pPr>
      <w:r w:rsidRPr="00327A89">
        <w:rPr>
          <w:rFonts w:ascii="Times New Roman" w:hAnsi="Times New Roman" w:cs="Times New Roman"/>
          <w:sz w:val="24"/>
          <w:szCs w:val="24"/>
        </w:rPr>
        <w:t>The Age. (2020, 10/04/2020). Landlords and tenants: A lack of compassion for too many tenants.</w:t>
      </w:r>
      <w:r w:rsidRPr="00327A89">
        <w:rPr>
          <w:rFonts w:ascii="Times New Roman" w:hAnsi="Times New Roman" w:cs="Times New Roman"/>
          <w:i/>
          <w:sz w:val="24"/>
          <w:szCs w:val="24"/>
        </w:rPr>
        <w:t xml:space="preserve"> The Age</w:t>
      </w:r>
      <w:r w:rsidRPr="00327A89">
        <w:rPr>
          <w:rFonts w:ascii="Times New Roman" w:hAnsi="Times New Roman" w:cs="Times New Roman"/>
          <w:sz w:val="24"/>
          <w:szCs w:val="24"/>
        </w:rPr>
        <w:t xml:space="preserve">. </w:t>
      </w:r>
      <w:hyperlink r:id="rId10" w:history="1">
        <w:r w:rsidRPr="00327A89">
          <w:rPr>
            <w:rStyle w:val="Hyperlink"/>
            <w:rFonts w:ascii="Times New Roman" w:hAnsi="Times New Roman" w:cs="Times New Roman"/>
            <w:sz w:val="24"/>
            <w:szCs w:val="24"/>
          </w:rPr>
          <w:t>https://www.theage.com.au/national/landlords-and-tenants-luckless-tenants-face-lies-and-intimidation-20200409-h1n97u.html</w:t>
        </w:r>
      </w:hyperlink>
    </w:p>
    <w:p w14:paraId="61D9E84F" w14:textId="77777777" w:rsidR="00327A89" w:rsidRPr="00327A89" w:rsidRDefault="00327A89" w:rsidP="00327A89">
      <w:pPr>
        <w:autoSpaceDE w:val="0"/>
        <w:autoSpaceDN w:val="0"/>
        <w:adjustRightInd w:val="0"/>
        <w:spacing w:after="0" w:line="480" w:lineRule="auto"/>
        <w:ind w:firstLine="720"/>
        <w:jc w:val="both"/>
        <w:rPr>
          <w:rFonts w:ascii="Times New Roman" w:hAnsi="Times New Roman" w:cs="Times New Roman"/>
          <w:b/>
          <w:bCs/>
          <w:sz w:val="24"/>
          <w:szCs w:val="24"/>
          <w:shd w:val="clear" w:color="auto" w:fill="FFFFFF"/>
        </w:rPr>
      </w:pPr>
    </w:p>
    <w:sectPr w:rsidR="00327A89" w:rsidRPr="00327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E3F4E"/>
    <w:multiLevelType w:val="multilevel"/>
    <w:tmpl w:val="547CA026"/>
    <w:lvl w:ilvl="0">
      <w:start w:val="1"/>
      <w:numFmt w:val="decimal"/>
      <w:lvlText w:val="%1.0."/>
      <w:lvlJc w:val="left"/>
      <w:pPr>
        <w:ind w:left="1080" w:hanging="360"/>
      </w:pPr>
      <w:rPr>
        <w:rFonts w:hint="default"/>
        <w:b/>
        <w:bCs/>
        <w:i w:val="0"/>
        <w:iCs w:val="0"/>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i w:val="0"/>
        <w:iCs w:val="0"/>
      </w:rPr>
    </w:lvl>
    <w:lvl w:ilvl="3">
      <w:start w:val="1"/>
      <w:numFmt w:val="decimal"/>
      <w:lvlText w:val="%1.%2.%3.%4."/>
      <w:lvlJc w:val="left"/>
      <w:pPr>
        <w:ind w:left="3600" w:hanging="720"/>
      </w:pPr>
      <w:rPr>
        <w:rFonts w:hint="default"/>
        <w:i w:val="0"/>
        <w:iCs w:val="0"/>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wN7U0NLMwNjY2NLBU0lEKTi0uzszPAykwqgUARWCtDCwAAAA="/>
  </w:docVars>
  <w:rsids>
    <w:rsidRoot w:val="004A2CC8"/>
    <w:rsid w:val="00327A89"/>
    <w:rsid w:val="004A2CC8"/>
    <w:rsid w:val="00702C11"/>
    <w:rsid w:val="00A00F31"/>
    <w:rsid w:val="00B7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3A67"/>
  <w15:chartTrackingRefBased/>
  <w15:docId w15:val="{3605BE08-A5CB-4DD3-A84E-EF7882CB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CC8"/>
    <w:rPr>
      <w:color w:val="0000FF"/>
      <w:u w:val="single"/>
    </w:rPr>
  </w:style>
  <w:style w:type="paragraph" w:styleId="ListParagraph">
    <w:name w:val="List Paragraph"/>
    <w:basedOn w:val="Normal"/>
    <w:uiPriority w:val="34"/>
    <w:qFormat/>
    <w:rsid w:val="004A2CC8"/>
    <w:pPr>
      <w:ind w:left="720"/>
      <w:contextualSpacing/>
    </w:pPr>
  </w:style>
  <w:style w:type="paragraph" w:customStyle="1" w:styleId="EndNoteBibliography">
    <w:name w:val="EndNote Bibliography"/>
    <w:basedOn w:val="Normal"/>
    <w:link w:val="EndNoteBibliographyChar"/>
    <w:rsid w:val="00327A89"/>
    <w:pPr>
      <w:spacing w:line="48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327A89"/>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539/jsd.v3n3p127" TargetMode="External"/><Relationship Id="rId3" Type="http://schemas.openxmlformats.org/officeDocument/2006/relationships/settings" Target="settings.xml"/><Relationship Id="rId7" Type="http://schemas.openxmlformats.org/officeDocument/2006/relationships/hyperlink" Target="https://doi.org/https://doi.org/10.1002/9780470479216.corpsy049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307/2280779" TargetMode="External"/><Relationship Id="rId11" Type="http://schemas.openxmlformats.org/officeDocument/2006/relationships/fontTable" Target="fontTable.xml"/><Relationship Id="rId5" Type="http://schemas.openxmlformats.org/officeDocument/2006/relationships/hyperlink" Target="https://doi.org/10.1111/j.2517-6161.1995.tb02031.x" TargetMode="External"/><Relationship Id="rId10" Type="http://schemas.openxmlformats.org/officeDocument/2006/relationships/hyperlink" Target="https://www.theage.com.au/national/landlords-and-tenants-luckless-tenants-face-lies-and-intimidation-20200409-h1n97u.html" TargetMode="External"/><Relationship Id="rId4" Type="http://schemas.openxmlformats.org/officeDocument/2006/relationships/webSettings" Target="webSettings.xml"/><Relationship Id="rId9" Type="http://schemas.openxmlformats.org/officeDocument/2006/relationships/hyperlink" Target="https://www.investopedia.com/investing/costs-inv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1775</Words>
  <Characters>10118</Characters>
  <Application>Microsoft Office Word</Application>
  <DocSecurity>0</DocSecurity>
  <Lines>84</Lines>
  <Paragraphs>23</Paragraphs>
  <ScaleCrop>false</ScaleCrop>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Arango Soler</dc:creator>
  <cp:keywords/>
  <dc:description/>
  <cp:lastModifiedBy>Luis Alfredo Arango Soler</cp:lastModifiedBy>
  <cp:revision>4</cp:revision>
  <dcterms:created xsi:type="dcterms:W3CDTF">2022-08-02T01:05:00Z</dcterms:created>
  <dcterms:modified xsi:type="dcterms:W3CDTF">2022-08-02T01:19:00Z</dcterms:modified>
</cp:coreProperties>
</file>