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235D7D"/>
          <w:sz w:val="26"/>
        </w:rPr>
        <w:t>CLOUDGUARD</w:t>
      </w:r>
    </w:p>
    <w:p>
      <w:pPr>
        <w:pStyle w:val="Title"/>
        <w:jc w:val="center"/>
      </w:pPr>
      <w:r>
        <w:t>Project Context &amp; Workload Split</w:t>
      </w:r>
    </w:p>
    <w:p>
      <w:pPr>
        <w:jc w:val="center"/>
      </w:pPr>
      <w:r>
        <w:rPr>
          <w:color w:val="4B555F"/>
          <w:sz w:val="24"/>
        </w:rPr>
        <w:t>Capital One Cloud Breach Simulation and Prevention</w:t>
      </w:r>
    </w:p>
    <w:p>
      <w:pPr>
        <w:jc w:val="center"/>
      </w:pPr>
      <w:r>
        <w:rPr>
          <w:i/>
          <w:color w:val="5F6973"/>
          <w:sz w:val="18"/>
        </w:rPr>
        <w:t>Computer Networks &amp; Security (CNS)  •  Local-only prototype  •  Two-person build team</w:t>
      </w:r>
    </w:p>
    <w:p>
      <w:pPr>
        <w:pStyle w:val="Heading1"/>
      </w:pPr>
      <w:r>
        <w:t>1. Executive summary</w:t>
      </w:r>
    </w:p>
    <w:p>
      <w:r>
        <w:t>CloudGuard is a small educational web application for our CNS case study on the 2019 Capital One cloud data breach. It will demonstrate—using simulated cloud settings and entirely fictitious customer records—how insecure configuration and excessive permissions can create a risk of unauthorized data access, and how basic security controls can reduce that risk.</w:t>
      </w:r>
    </w:p>
    <w:p>
      <w:r>
        <w:t>This is intentionally a basic prototype, not a full cloud-security product. We will not deploy to AWS, connect to real cloud resources, use paid APIs, handle real customer data, or attempt to exploit a live system. The goal is a clear, repeatable before-and-after demonstration that supports the case-study analysis.</w:t>
      </w:r>
    </w:p>
    <w:p>
      <w:pPr>
        <w:pStyle w:val="Heading1"/>
      </w:pPr>
      <w:r>
        <w:t>2. What we are building</w:t>
      </w:r>
    </w:p>
    <w:p>
      <w:r>
        <w:t>The application will have one simple flow:</w:t>
      </w:r>
    </w:p>
    <w:p>
      <w:pPr>
        <w:pStyle w:val="ListNumber"/>
        <w:spacing w:after="40"/>
      </w:pPr>
      <w:r>
        <w:rPr>
          <w:b/>
        </w:rPr>
        <w:t xml:space="preserve">Choose a scenario: </w:t>
      </w:r>
      <w:r>
        <w:t>Select a predefined vulnerable configuration or a secured configuration.</w:t>
      </w:r>
    </w:p>
    <w:p>
      <w:pPr>
        <w:pStyle w:val="ListNumber"/>
        <w:spacing w:after="40"/>
      </w:pPr>
      <w:r>
        <w:rPr>
          <w:b/>
        </w:rPr>
        <w:t xml:space="preserve">Scan the configuration: </w:t>
      </w:r>
      <w:r>
        <w:t>Check a small set of simulated settings and list findings with severity, explanation and suggested fix.</w:t>
      </w:r>
    </w:p>
    <w:p>
      <w:pPr>
        <w:pStyle w:val="ListNumber"/>
        <w:spacing w:after="40"/>
      </w:pPr>
      <w:r>
        <w:rPr>
          <w:b/>
        </w:rPr>
        <w:t xml:space="preserve">Run a safe simulation: </w:t>
      </w:r>
      <w:r>
        <w:t>Send a predefined mock access request to a local policy evaluator. Show whether access would be allowed or denied.</w:t>
      </w:r>
    </w:p>
    <w:p>
      <w:pPr>
        <w:pStyle w:val="ListNumber"/>
        <w:spacing w:after="40"/>
      </w:pPr>
      <w:r>
        <w:rPr>
          <w:b/>
        </w:rPr>
        <w:t xml:space="preserve">Apply security fixes: </w:t>
      </w:r>
      <w:r>
        <w:t>Change the simulated settings—for example, restrict storage access and replace overly broad permissions.</w:t>
      </w:r>
    </w:p>
    <w:p>
      <w:pPr>
        <w:pStyle w:val="ListNumber"/>
        <w:spacing w:after="40"/>
      </w:pPr>
      <w:r>
        <w:rPr>
          <w:b/>
        </w:rPr>
        <w:t xml:space="preserve">Verify and compare: </w:t>
      </w:r>
      <w:r>
        <w:t>Repeat the same request and scan. Show the changed decision, resolved findings and a short audit event.</w:t>
      </w:r>
    </w:p>
    <w:p>
      <w:pPr>
        <w:pStyle w:val="Heading1"/>
      </w:pPr>
      <w:r>
        <w:t>3. Scope and boundaries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245B78"/>
          </w:tcPr>
          <w:p>
            <w:pPr>
              <w:spacing w:after="20"/>
            </w:pPr>
            <w:r/>
            <w:r>
              <w:rPr>
                <w:rFonts w:ascii="Aptos" w:hAnsi="Aptos"/>
                <w:b/>
                <w:color w:val="FFFFFF"/>
                <w:sz w:val="18"/>
              </w:rPr>
              <w:t>IN SCOPE</w:t>
            </w:r>
          </w:p>
        </w:tc>
        <w:tc>
          <w:tcPr>
            <w:tcW w:type="dxa" w:w="5040"/>
            <w:vAlign w:val="center"/>
            <w:shd w:fill="6A737B"/>
          </w:tcPr>
          <w:p>
            <w:pPr>
              <w:spacing w:after="20"/>
            </w:pPr>
            <w:r/>
            <w:r>
              <w:rPr>
                <w:rFonts w:ascii="Aptos" w:hAnsi="Aptos"/>
                <w:b/>
                <w:color w:val="FFFFFF"/>
                <w:sz w:val="18"/>
              </w:rPr>
              <w:t>OUT OF SCOPE</w:t>
            </w:r>
          </w:p>
        </w:tc>
      </w:tr>
      <w:tr>
        <w:tc>
          <w:tcPr>
            <w:tcW w:type="dxa" w:w="5040"/>
            <w:vAlign w:val="center"/>
          </w:tcPr>
          <w:p>
            <w:pPr>
              <w:spacing w:after="20"/>
            </w:pPr>
            <w:r/>
            <w:r>
              <w:rPr>
                <w:rFonts w:ascii="Aptos" w:hAnsi="Aptos"/>
                <w:b w:val="0"/>
                <w:sz w:val="18"/>
              </w:rPr>
              <w:t>Local web dashboard</w:t>
            </w:r>
          </w:p>
        </w:tc>
        <w:tc>
          <w:tcPr>
            <w:tcW w:type="dxa" w:w="5040"/>
            <w:vAlign w:val="center"/>
          </w:tcPr>
          <w:p>
            <w:pPr>
              <w:spacing w:after="20"/>
            </w:pPr>
            <w:r/>
            <w:r>
              <w:rPr>
                <w:rFonts w:ascii="Aptos" w:hAnsi="Aptos"/>
                <w:b w:val="0"/>
                <w:sz w:val="18"/>
              </w:rPr>
              <w:t>Real AWS deployment or cloud account setup</w:t>
            </w:r>
          </w:p>
        </w:tc>
      </w:tr>
      <w:tr>
        <w:tc>
          <w:tcPr>
            <w:tcW w:type="dxa" w:w="5040"/>
            <w:vAlign w:val="center"/>
          </w:tcPr>
          <w:p>
            <w:pPr>
              <w:spacing w:after="20"/>
            </w:pPr>
            <w:r/>
            <w:r>
              <w:rPr>
                <w:rFonts w:ascii="Aptos" w:hAnsi="Aptos"/>
                <w:b w:val="0"/>
                <w:sz w:val="18"/>
              </w:rPr>
              <w:t>Predefined configuration checks</w:t>
            </w:r>
          </w:p>
        </w:tc>
        <w:tc>
          <w:tcPr>
            <w:tcW w:type="dxa" w:w="5040"/>
            <w:vAlign w:val="center"/>
          </w:tcPr>
          <w:p>
            <w:pPr>
              <w:spacing w:after="20"/>
            </w:pPr>
            <w:r/>
            <w:r>
              <w:rPr>
                <w:rFonts w:ascii="Aptos" w:hAnsi="Aptos"/>
                <w:b w:val="0"/>
                <w:sz w:val="18"/>
              </w:rPr>
              <w:t>A production-grade cloud posture scanner</w:t>
            </w:r>
          </w:p>
        </w:tc>
      </w:tr>
      <w:tr>
        <w:tc>
          <w:tcPr>
            <w:tcW w:type="dxa" w:w="5040"/>
            <w:vAlign w:val="center"/>
          </w:tcPr>
          <w:p>
            <w:pPr>
              <w:spacing w:after="20"/>
            </w:pPr>
            <w:r/>
            <w:r>
              <w:rPr>
                <w:rFonts w:ascii="Aptos" w:hAnsi="Aptos"/>
                <w:b w:val="0"/>
                <w:sz w:val="18"/>
              </w:rPr>
              <w:t>Synthetic customer records only</w:t>
            </w:r>
          </w:p>
        </w:tc>
        <w:tc>
          <w:tcPr>
            <w:tcW w:type="dxa" w:w="5040"/>
            <w:vAlign w:val="center"/>
          </w:tcPr>
          <w:p>
            <w:pPr>
              <w:spacing w:after="20"/>
            </w:pPr>
            <w:r/>
            <w:r>
              <w:rPr>
                <w:rFonts w:ascii="Aptos" w:hAnsi="Aptos"/>
                <w:b w:val="0"/>
                <w:sz w:val="18"/>
              </w:rPr>
              <w:t>Real personal, financial or customer information</w:t>
            </w:r>
          </w:p>
        </w:tc>
      </w:tr>
      <w:tr>
        <w:tc>
          <w:tcPr>
            <w:tcW w:type="dxa" w:w="5040"/>
            <w:vAlign w:val="center"/>
          </w:tcPr>
          <w:p>
            <w:pPr>
              <w:spacing w:after="20"/>
            </w:pPr>
            <w:r/>
            <w:r>
              <w:rPr>
                <w:rFonts w:ascii="Aptos" w:hAnsi="Aptos"/>
                <w:b w:val="0"/>
                <w:sz w:val="18"/>
              </w:rPr>
              <w:t>Mock access-policy engine</w:t>
            </w:r>
          </w:p>
        </w:tc>
        <w:tc>
          <w:tcPr>
            <w:tcW w:type="dxa" w:w="5040"/>
            <w:vAlign w:val="center"/>
          </w:tcPr>
          <w:p>
            <w:pPr>
              <w:spacing w:after="20"/>
            </w:pPr>
            <w:r/>
            <w:r>
              <w:rPr>
                <w:rFonts w:ascii="Aptos" w:hAnsi="Aptos"/>
                <w:b w:val="0"/>
                <w:sz w:val="18"/>
              </w:rPr>
              <w:t>Real credential theft or live SSRF exploitation</w:t>
            </w:r>
          </w:p>
        </w:tc>
      </w:tr>
      <w:tr>
        <w:tc>
          <w:tcPr>
            <w:tcW w:type="dxa" w:w="5040"/>
            <w:vAlign w:val="center"/>
          </w:tcPr>
          <w:p>
            <w:pPr>
              <w:spacing w:after="20"/>
            </w:pPr>
            <w:r/>
            <w:r>
              <w:rPr>
                <w:rFonts w:ascii="Aptos" w:hAnsi="Aptos"/>
                <w:b w:val="0"/>
                <w:sz w:val="18"/>
              </w:rPr>
              <w:t>Basic findings and audit events</w:t>
            </w:r>
          </w:p>
        </w:tc>
        <w:tc>
          <w:tcPr>
            <w:tcW w:type="dxa" w:w="5040"/>
            <w:vAlign w:val="center"/>
          </w:tcPr>
          <w:p>
            <w:pPr>
              <w:spacing w:after="20"/>
            </w:pPr>
            <w:r/>
            <w:r>
              <w:rPr>
                <w:rFonts w:ascii="Aptos" w:hAnsi="Aptos"/>
                <w:b w:val="0"/>
                <w:sz w:val="18"/>
              </w:rPr>
              <w:t>Complex SIEM, machine learning or paid APIs</w:t>
            </w:r>
          </w:p>
        </w:tc>
      </w:tr>
      <w:tr>
        <w:tc>
          <w:tcPr>
            <w:tcW w:type="dxa" w:w="5040"/>
            <w:vAlign w:val="center"/>
          </w:tcPr>
          <w:p>
            <w:pPr>
              <w:spacing w:after="20"/>
            </w:pPr>
            <w:r/>
            <w:r>
              <w:rPr>
                <w:rFonts w:ascii="Aptos" w:hAnsi="Aptos"/>
                <w:b w:val="0"/>
                <w:sz w:val="18"/>
              </w:rPr>
              <w:t>Vulnerable-versus-secured comparison</w:t>
            </w:r>
          </w:p>
        </w:tc>
        <w:tc>
          <w:tcPr>
            <w:tcW w:type="dxa" w:w="5040"/>
            <w:vAlign w:val="center"/>
          </w:tcPr>
          <w:p>
            <w:pPr>
              <w:spacing w:after="20"/>
            </w:pPr>
            <w:r/>
            <w:r>
              <w:rPr>
                <w:rFonts w:ascii="Aptos" w:hAnsi="Aptos"/>
                <w:b w:val="0"/>
                <w:sz w:val="18"/>
              </w:rPr>
              <w:t>A claim that the prototype exactly reproduces the original breach</w:t>
            </w:r>
          </w:p>
        </w:tc>
      </w:tr>
    </w:tbl>
    <w:p>
      <w:pPr>
        <w:pStyle w:val="Heading1"/>
      </w:pPr>
      <w:r>
        <w:t>4. How the case study maps to the prototype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45B78"/>
          </w:tcPr>
          <w:p>
            <w:pPr>
              <w:spacing w:after="20"/>
            </w:pPr>
            <w:r/>
            <w:r>
              <w:rPr>
                <w:rFonts w:ascii="Aptos" w:hAnsi="Aptos"/>
                <w:b/>
                <w:color w:val="FFFFFF"/>
                <w:sz w:val="17"/>
              </w:rPr>
              <w:t>Case-study concept</w:t>
            </w:r>
          </w:p>
        </w:tc>
        <w:tc>
          <w:tcPr>
            <w:tcW w:type="dxa" w:w="3360"/>
            <w:vAlign w:val="center"/>
            <w:shd w:fill="245B78"/>
          </w:tcPr>
          <w:p>
            <w:pPr>
              <w:spacing w:after="20"/>
            </w:pPr>
            <w:r/>
            <w:r>
              <w:rPr>
                <w:rFonts w:ascii="Aptos" w:hAnsi="Aptos"/>
                <w:b/>
                <w:color w:val="FFFFFF"/>
                <w:sz w:val="17"/>
              </w:rPr>
              <w:t>Prototype representation</w:t>
            </w:r>
          </w:p>
        </w:tc>
        <w:tc>
          <w:tcPr>
            <w:tcW w:type="dxa" w:w="3360"/>
            <w:vAlign w:val="center"/>
            <w:shd w:fill="245B78"/>
          </w:tcPr>
          <w:p>
            <w:pPr>
              <w:spacing w:after="20"/>
            </w:pPr>
            <w:r/>
            <w:r>
              <w:rPr>
                <w:rFonts w:ascii="Aptos" w:hAnsi="Aptos"/>
                <w:b/>
                <w:color w:val="FFFFFF"/>
                <w:sz w:val="17"/>
              </w:rPr>
              <w:t>What we demonstrate</w:t>
            </w:r>
          </w:p>
        </w:tc>
      </w:tr>
      <w:tr>
        <w:tc>
          <w:tcPr>
            <w:tcW w:type="dxa" w:w="3360"/>
            <w:vAlign w:val="center"/>
          </w:tcPr>
          <w:p>
            <w:pPr>
              <w:spacing w:after="20"/>
            </w:pPr>
            <w:r/>
            <w:r>
              <w:rPr>
                <w:rFonts w:ascii="Aptos" w:hAnsi="Aptos"/>
                <w:b w:val="0"/>
                <w:sz w:val="16"/>
              </w:rPr>
              <w:t>SSRF / trust-boundary weakness</w:t>
            </w:r>
          </w:p>
        </w:tc>
        <w:tc>
          <w:tcPr>
            <w:tcW w:type="dxa" w:w="3360"/>
            <w:vAlign w:val="center"/>
          </w:tcPr>
          <w:p>
            <w:pPr>
              <w:spacing w:after="20"/>
            </w:pPr>
            <w:r/>
            <w:r>
              <w:rPr>
                <w:rFonts w:ascii="Aptos" w:hAnsi="Aptos"/>
                <w:b w:val="0"/>
                <w:sz w:val="16"/>
              </w:rPr>
              <w:t>Fixed, local-only mock request scenario</w:t>
            </w:r>
          </w:p>
        </w:tc>
        <w:tc>
          <w:tcPr>
            <w:tcW w:type="dxa" w:w="3360"/>
            <w:vAlign w:val="center"/>
          </w:tcPr>
          <w:p>
            <w:pPr>
              <w:spacing w:after="20"/>
            </w:pPr>
            <w:r/>
            <w:r>
              <w:rPr>
                <w:rFonts w:ascii="Aptos" w:hAnsi="Aptos"/>
                <w:b w:val="0"/>
                <w:sz w:val="16"/>
              </w:rPr>
              <w:t>Why an unsafe request path can create exposure risk; no real metadata endpoints are contacted.</w:t>
            </w:r>
          </w:p>
        </w:tc>
      </w:tr>
      <w:tr>
        <w:tc>
          <w:tcPr>
            <w:tcW w:type="dxa" w:w="3360"/>
            <w:vAlign w:val="center"/>
          </w:tcPr>
          <w:p>
            <w:pPr>
              <w:spacing w:after="20"/>
            </w:pPr>
            <w:r/>
            <w:r>
              <w:rPr>
                <w:rFonts w:ascii="Aptos" w:hAnsi="Aptos"/>
                <w:b w:val="0"/>
                <w:sz w:val="16"/>
              </w:rPr>
              <w:t>Excessive IAM permissions</w:t>
            </w:r>
          </w:p>
        </w:tc>
        <w:tc>
          <w:tcPr>
            <w:tcW w:type="dxa" w:w="3360"/>
            <w:vAlign w:val="center"/>
          </w:tcPr>
          <w:p>
            <w:pPr>
              <w:spacing w:after="20"/>
            </w:pPr>
            <w:r/>
            <w:r>
              <w:rPr>
                <w:rFonts w:ascii="Aptos" w:hAnsi="Aptos"/>
                <w:b w:val="0"/>
                <w:sz w:val="16"/>
              </w:rPr>
              <w:t>Simplified policy setting in JSON</w:t>
            </w:r>
          </w:p>
        </w:tc>
        <w:tc>
          <w:tcPr>
            <w:tcW w:type="dxa" w:w="3360"/>
            <w:vAlign w:val="center"/>
          </w:tcPr>
          <w:p>
            <w:pPr>
              <w:spacing w:after="20"/>
            </w:pPr>
            <w:r/>
            <w:r>
              <w:rPr>
                <w:rFonts w:ascii="Aptos" w:hAnsi="Aptos"/>
                <w:b w:val="0"/>
                <w:sz w:val="16"/>
              </w:rPr>
              <w:t>Overly broad permissions can permit access beyond what is required.</w:t>
            </w:r>
          </w:p>
        </w:tc>
      </w:tr>
      <w:tr>
        <w:tc>
          <w:tcPr>
            <w:tcW w:type="dxa" w:w="3360"/>
            <w:vAlign w:val="center"/>
          </w:tcPr>
          <w:p>
            <w:pPr>
              <w:spacing w:after="20"/>
            </w:pPr>
            <w:r/>
            <w:r>
              <w:rPr>
                <w:rFonts w:ascii="Aptos" w:hAnsi="Aptos"/>
                <w:b w:val="0"/>
                <w:sz w:val="16"/>
              </w:rPr>
              <w:t>Storage access controls</w:t>
            </w:r>
          </w:p>
        </w:tc>
        <w:tc>
          <w:tcPr>
            <w:tcW w:type="dxa" w:w="3360"/>
            <w:vAlign w:val="center"/>
          </w:tcPr>
          <w:p>
            <w:pPr>
              <w:spacing w:after="20"/>
            </w:pPr>
            <w:r/>
            <w:r>
              <w:rPr>
                <w:rFonts w:ascii="Aptos" w:hAnsi="Aptos"/>
                <w:b w:val="0"/>
                <w:sz w:val="16"/>
              </w:rPr>
              <w:t>Mock storage guarded by policy checks</w:t>
            </w:r>
          </w:p>
        </w:tc>
        <w:tc>
          <w:tcPr>
            <w:tcW w:type="dxa" w:w="3360"/>
            <w:vAlign w:val="center"/>
          </w:tcPr>
          <w:p>
            <w:pPr>
              <w:spacing w:after="20"/>
            </w:pPr>
            <w:r/>
            <w:r>
              <w:rPr>
                <w:rFonts w:ascii="Aptos" w:hAnsi="Aptos"/>
                <w:b w:val="0"/>
                <w:sz w:val="16"/>
              </w:rPr>
              <w:t>Private/restricted access denies a request that the vulnerable policy would allow.</w:t>
            </w:r>
          </w:p>
        </w:tc>
      </w:tr>
      <w:tr>
        <w:tc>
          <w:tcPr>
            <w:tcW w:type="dxa" w:w="3360"/>
            <w:vAlign w:val="center"/>
          </w:tcPr>
          <w:p>
            <w:pPr>
              <w:spacing w:after="20"/>
            </w:pPr>
            <w:r/>
            <w:r>
              <w:rPr>
                <w:rFonts w:ascii="Aptos" w:hAnsi="Aptos"/>
                <w:b w:val="0"/>
                <w:sz w:val="16"/>
              </w:rPr>
              <w:t>Monitoring and auditability</w:t>
            </w:r>
          </w:p>
        </w:tc>
        <w:tc>
          <w:tcPr>
            <w:tcW w:type="dxa" w:w="3360"/>
            <w:vAlign w:val="center"/>
          </w:tcPr>
          <w:p>
            <w:pPr>
              <w:spacing w:after="20"/>
            </w:pPr>
            <w:r/>
            <w:r>
              <w:rPr>
                <w:rFonts w:ascii="Aptos" w:hAnsi="Aptos"/>
                <w:b w:val="0"/>
                <w:sz w:val="16"/>
              </w:rPr>
              <w:t>Local event log</w:t>
            </w:r>
          </w:p>
        </w:tc>
        <w:tc>
          <w:tcPr>
            <w:tcW w:type="dxa" w:w="3360"/>
            <w:vAlign w:val="center"/>
          </w:tcPr>
          <w:p>
            <w:pPr>
              <w:spacing w:after="20"/>
            </w:pPr>
            <w:r/>
            <w:r>
              <w:rPr>
                <w:rFonts w:ascii="Aptos" w:hAnsi="Aptos"/>
                <w:b w:val="0"/>
                <w:sz w:val="16"/>
              </w:rPr>
              <w:t>Access decisions and simulated suspicious events can be reviewed.</w:t>
            </w:r>
          </w:p>
        </w:tc>
      </w:tr>
      <w:tr>
        <w:tc>
          <w:tcPr>
            <w:tcW w:type="dxa" w:w="3360"/>
            <w:vAlign w:val="center"/>
          </w:tcPr>
          <w:p>
            <w:pPr>
              <w:spacing w:after="20"/>
            </w:pPr>
            <w:r/>
            <w:r>
              <w:rPr>
                <w:rFonts w:ascii="Aptos" w:hAnsi="Aptos"/>
                <w:b w:val="0"/>
                <w:sz w:val="16"/>
              </w:rPr>
              <w:t>Remediation</w:t>
            </w:r>
          </w:p>
        </w:tc>
        <w:tc>
          <w:tcPr>
            <w:tcW w:type="dxa" w:w="3360"/>
            <w:vAlign w:val="center"/>
          </w:tcPr>
          <w:p>
            <w:pPr>
              <w:spacing w:after="20"/>
            </w:pPr>
            <w:r/>
            <w:r>
              <w:rPr>
                <w:rFonts w:ascii="Aptos" w:hAnsi="Aptos"/>
                <w:b w:val="0"/>
                <w:sz w:val="16"/>
              </w:rPr>
              <w:t>Updated configuration and rerun tests</w:t>
            </w:r>
          </w:p>
        </w:tc>
        <w:tc>
          <w:tcPr>
            <w:tcW w:type="dxa" w:w="3360"/>
            <w:vAlign w:val="center"/>
          </w:tcPr>
          <w:p>
            <w:pPr>
              <w:spacing w:after="20"/>
            </w:pPr>
            <w:r/>
            <w:r>
              <w:rPr>
                <w:rFonts w:ascii="Aptos" w:hAnsi="Aptos"/>
                <w:b w:val="0"/>
                <w:sz w:val="16"/>
              </w:rPr>
              <w:t>Security fixes should change the policy decision, not merely the dashboard display.</w:t>
            </w:r>
          </w:p>
        </w:tc>
      </w:tr>
    </w:tbl>
    <w:p>
      <w:pPr>
        <w:pStyle w:val="Heading1"/>
      </w:pPr>
      <w:r>
        <w:t>5. Minimal technical architecture</w:t>
      </w:r>
    </w:p>
    <w:p>
      <w:r>
        <w:t>Recommended implementation: React + Vite for the interface, Python + FastAPI for the local API, JSON files for predefined scenario configurations and dummy records, and SQLite (or a simple local file initially) for audit events. All components run on the development laptop.</w:t>
      </w:r>
    </w:p>
    <w:tbl>
      <w:tblPr>
        <w:tblStyle w:val="TableGrid"/>
        <w:tblW w:type="auto" w:w="0"/>
        <w:tblLook w:firstColumn="1" w:firstRow="1" w:lastColumn="0" w:lastRow="0" w:noHBand="0" w:noVBand="1" w:val="04A0"/>
      </w:tblPr>
      <w:tblGrid>
        <w:gridCol w:w="10080"/>
      </w:tblGrid>
      <w:tr>
        <w:tc>
          <w:tcPr>
            <w:tcW w:type="dxa" w:w="10080"/>
            <w:vAlign w:val="center"/>
          </w:tcPr>
          <w:p>
            <w:pPr>
              <w:spacing w:after="20"/>
            </w:pPr>
            <w:r/>
            <w:r>
              <w:rPr>
                <w:rFonts w:ascii="Aptos" w:hAnsi="Aptos"/>
                <w:b/>
                <w:color w:val="1B4363"/>
                <w:sz w:val="18"/>
              </w:rPr>
              <w:t>React dashboard  →  FastAPI local backend</w:t>
            </w:r>
          </w:p>
          <w:p>
            <w:pPr>
              <w:spacing w:after="40"/>
            </w:pPr>
            <w:r>
              <w:rPr>
                <w:rFonts w:ascii="Aptos" w:hAnsi="Aptos"/>
                <w:sz w:val="18"/>
              </w:rPr>
              <w:t>Backend modules: scanner · policy evaluator · scenario simulator · remediation · audit logger</w:t>
            </w:r>
          </w:p>
          <w:p>
            <w:pPr>
              <w:spacing w:after="40"/>
            </w:pPr>
            <w:r>
              <w:rPr>
                <w:rFonts w:ascii="Aptos" w:hAnsi="Aptos"/>
                <w:sz w:val="18"/>
              </w:rPr>
              <w:t>Local data: vulnerable.json · secured.json · synthetic customers · audit database</w:t>
            </w:r>
          </w:p>
        </w:tc>
      </w:tr>
    </w:tbl>
    <w:p>
      <w:pPr>
        <w:pStyle w:val="Heading1"/>
      </w:pPr>
      <w:r>
        <w:t>6. Workload split — two people</w:t>
      </w:r>
    </w:p>
    <w:p>
      <w:r>
        <w:t>Split ownership by area so both people can work in parallel after agreeing on the interface between the frontend and backend. Both team members should review the final demo and understand the full story.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45B78"/>
          </w:tcPr>
          <w:p>
            <w:pPr>
              <w:spacing w:after="20"/>
            </w:pPr>
            <w:r/>
            <w:r>
              <w:rPr>
                <w:rFonts w:ascii="Aptos" w:hAnsi="Aptos"/>
                <w:b/>
                <w:color w:val="FFFFFF"/>
                <w:sz w:val="17"/>
              </w:rPr>
              <w:t>Owner</w:t>
            </w:r>
          </w:p>
        </w:tc>
        <w:tc>
          <w:tcPr>
            <w:tcW w:type="dxa" w:w="3360"/>
            <w:vAlign w:val="center"/>
            <w:shd w:fill="245B78"/>
          </w:tcPr>
          <w:p>
            <w:pPr>
              <w:spacing w:after="20"/>
            </w:pPr>
            <w:r/>
            <w:r>
              <w:rPr>
                <w:rFonts w:ascii="Aptos" w:hAnsi="Aptos"/>
                <w:b/>
                <w:color w:val="FFFFFF"/>
                <w:sz w:val="17"/>
              </w:rPr>
              <w:t>Primary responsibilities</w:t>
            </w:r>
          </w:p>
        </w:tc>
        <w:tc>
          <w:tcPr>
            <w:tcW w:type="dxa" w:w="3360"/>
            <w:vAlign w:val="center"/>
            <w:shd w:fill="245B78"/>
          </w:tcPr>
          <w:p>
            <w:pPr>
              <w:spacing w:after="20"/>
            </w:pPr>
            <w:r/>
            <w:r>
              <w:rPr>
                <w:rFonts w:ascii="Aptos" w:hAnsi="Aptos"/>
                <w:b/>
                <w:color w:val="FFFFFF"/>
                <w:sz w:val="17"/>
              </w:rPr>
              <w:t>Deliverables</w:t>
            </w:r>
          </w:p>
        </w:tc>
      </w:tr>
      <w:tr>
        <w:tc>
          <w:tcPr>
            <w:tcW w:type="dxa" w:w="3360"/>
            <w:vAlign w:val="center"/>
          </w:tcPr>
          <w:p>
            <w:pPr>
              <w:spacing w:after="20"/>
            </w:pPr>
            <w:r/>
            <w:r>
              <w:rPr>
                <w:rFonts w:ascii="Aptos" w:hAnsi="Aptos"/>
                <w:b/>
                <w:sz w:val="16"/>
              </w:rPr>
              <w:t>Person A — Backend &amp; security logic</w:t>
            </w:r>
          </w:p>
        </w:tc>
        <w:tc>
          <w:tcPr>
            <w:tcW w:type="dxa" w:w="3360"/>
            <w:vAlign w:val="center"/>
          </w:tcPr>
          <w:p>
            <w:pPr>
              <w:spacing w:after="20"/>
            </w:pPr>
            <w:r/>
            <w:r>
              <w:rPr>
                <w:rFonts w:ascii="Aptos" w:hAnsi="Aptos"/>
                <w:b w:val="0"/>
                <w:sz w:val="16"/>
              </w:rPr>
              <w:t>Create FastAPI app and endpoints; implement scanner rules; build the mock policy evaluator; implement vulnerable/secured scenarios and remediation; add tests for allowed/denied requests.</w:t>
            </w:r>
          </w:p>
        </w:tc>
        <w:tc>
          <w:tcPr>
            <w:tcW w:type="dxa" w:w="3360"/>
            <w:vAlign w:val="center"/>
          </w:tcPr>
          <w:p>
            <w:pPr>
              <w:spacing w:after="20"/>
            </w:pPr>
            <w:r/>
            <w:r>
              <w:rPr>
                <w:rFonts w:ascii="Aptos" w:hAnsi="Aptos"/>
                <w:b w:val="0"/>
                <w:sz w:val="16"/>
              </w:rPr>
              <w:t>Working API; scenario JSON; scanner findings; access-decision tests; short notes explaining each rule.</w:t>
            </w:r>
          </w:p>
        </w:tc>
      </w:tr>
      <w:tr>
        <w:tc>
          <w:tcPr>
            <w:tcW w:type="dxa" w:w="3360"/>
            <w:vAlign w:val="center"/>
          </w:tcPr>
          <w:p>
            <w:pPr>
              <w:spacing w:after="20"/>
            </w:pPr>
            <w:r/>
            <w:r>
              <w:rPr>
                <w:rFonts w:ascii="Aptos" w:hAnsi="Aptos"/>
                <w:b/>
                <w:sz w:val="16"/>
              </w:rPr>
              <w:t>Person B — Frontend &amp; case-study presentation</w:t>
            </w:r>
          </w:p>
        </w:tc>
        <w:tc>
          <w:tcPr>
            <w:tcW w:type="dxa" w:w="3360"/>
            <w:vAlign w:val="center"/>
          </w:tcPr>
          <w:p>
            <w:pPr>
              <w:spacing w:after="20"/>
            </w:pPr>
            <w:r/>
            <w:r>
              <w:rPr>
                <w:rFonts w:ascii="Aptos" w:hAnsi="Aptos"/>
                <w:b w:val="0"/>
                <w:sz w:val="16"/>
              </w:rPr>
              <w:t>Build React dashboard and scenario controls; display findings and access results; add simple audit-log view; research and summarize the Capital One incident; prepare screenshots and report/presentation material.</w:t>
            </w:r>
          </w:p>
        </w:tc>
        <w:tc>
          <w:tcPr>
            <w:tcW w:type="dxa" w:w="3360"/>
            <w:vAlign w:val="center"/>
          </w:tcPr>
          <w:p>
            <w:pPr>
              <w:spacing w:after="20"/>
            </w:pPr>
            <w:r/>
            <w:r>
              <w:rPr>
                <w:rFonts w:ascii="Aptos" w:hAnsi="Aptos"/>
                <w:b w:val="0"/>
                <w:sz w:val="16"/>
              </w:rPr>
              <w:t>Working UI; findings and results views; incident-to-control mapping; demo script; screenshots and report sections.</w:t>
            </w:r>
          </w:p>
        </w:tc>
      </w:tr>
    </w:tbl>
    <w:p>
      <w:pPr>
        <w:pStyle w:val="Heading2"/>
      </w:pPr>
      <w:r>
        <w:t>Shared responsibilities</w:t>
      </w:r>
    </w:p>
    <w:p>
      <w:pPr>
        <w:pStyle w:val="ListBullet"/>
      </w:pPr>
      <w:r>
        <w:t>Agree on API request/response shapes and configuration field names before parallel implementation.</w:t>
      </w:r>
    </w:p>
    <w:p>
      <w:pPr>
        <w:pStyle w:val="ListBullet"/>
      </w:pPr>
      <w:r>
        <w:t>Use the same Git repository and commit small, understandable changes; avoid editing the same files simultaneously.</w:t>
      </w:r>
    </w:p>
    <w:p>
      <w:pPr>
        <w:pStyle w:val="ListBullet"/>
      </w:pPr>
      <w:r>
        <w:t>Test the integrated flow together: scan → simulate → remediate → rerun → inspect logs.</w:t>
      </w:r>
    </w:p>
    <w:p>
      <w:pPr>
        <w:pStyle w:val="ListBullet"/>
      </w:pPr>
      <w:r>
        <w:t>Both members must be able to explain the Capital One incident, SSRF at a high level, excessive permissions, storage access control and least privilege.</w:t>
      </w:r>
    </w:p>
    <w:p>
      <w:pPr>
        <w:pStyle w:val="ListBullet"/>
      </w:pPr>
      <w:r>
        <w:t>Keep the prototype safe: fixed mock scenarios only; no real credentials, metadata endpoints or external targets.</w:t>
      </w:r>
    </w:p>
    <w:p>
      <w:pPr>
        <w:pStyle w:val="Heading1"/>
      </w:pPr>
      <w:r>
        <w:t>7. Milestone workflow</w:t>
      </w:r>
    </w:p>
    <w:p>
      <w:pPr>
        <w:pStyle w:val="ListNumber"/>
        <w:spacing w:after="40"/>
      </w:pPr>
      <w:r>
        <w:rPr>
          <w:b/>
        </w:rPr>
        <w:t xml:space="preserve">M00 — Read-only workspace audit — </w:t>
      </w:r>
      <w:r>
        <w:t>Inspect the existing workspace and tooling. No files changed.</w:t>
      </w:r>
    </w:p>
    <w:p>
      <w:pPr>
        <w:pStyle w:val="ListNumber"/>
        <w:spacing w:after="40"/>
      </w:pPr>
      <w:r>
        <w:rPr>
          <w:b/>
        </w:rPr>
        <w:t xml:space="preserve">M01 — Requirements and structure — </w:t>
      </w:r>
      <w:r>
        <w:t>Agree on scope, screens, data shape, endpoints and acceptance criteria; write a concise PRD.</w:t>
      </w:r>
    </w:p>
    <w:p>
      <w:pPr>
        <w:pStyle w:val="ListNumber"/>
        <w:spacing w:after="40"/>
      </w:pPr>
      <w:r>
        <w:rPr>
          <w:b/>
        </w:rPr>
        <w:t xml:space="preserve">M02 — Dashboard shell — </w:t>
      </w:r>
      <w:r>
        <w:t>Build the UI with clearly labelled placeholder data; no false claims that backend checks are live.</w:t>
      </w:r>
    </w:p>
    <w:p>
      <w:pPr>
        <w:pStyle w:val="ListNumber"/>
        <w:spacing w:after="40"/>
      </w:pPr>
      <w:r>
        <w:rPr>
          <w:b/>
        </w:rPr>
        <w:t xml:space="preserve">M03 — Scanner and policy engine — </w:t>
      </w:r>
      <w:r>
        <w:t>Implement and unit-test the configuration checks and mock access decisions.</w:t>
      </w:r>
    </w:p>
    <w:p>
      <w:pPr>
        <w:pStyle w:val="ListNumber"/>
        <w:spacing w:after="40"/>
      </w:pPr>
      <w:r>
        <w:rPr>
          <w:b/>
        </w:rPr>
        <w:t xml:space="preserve">M04 — Simulation and remediation — </w:t>
      </w:r>
      <w:r>
        <w:t>Connect scenario buttons to the backend and prove the same request changes from allowed in the vulnerable model to denied in the secured model.</w:t>
      </w:r>
    </w:p>
    <w:p>
      <w:pPr>
        <w:pStyle w:val="ListNumber"/>
        <w:spacing w:after="40"/>
      </w:pPr>
      <w:r>
        <w:rPr>
          <w:b/>
        </w:rPr>
        <w:t xml:space="preserve">M05 — Audit events and case-study context — </w:t>
      </w:r>
      <w:r>
        <w:t>Record decisions and add a concise explanation of historical issues versus simulated behavior.</w:t>
      </w:r>
    </w:p>
    <w:p>
      <w:pPr>
        <w:pStyle w:val="ListNumber"/>
        <w:spacing w:after="40"/>
      </w:pPr>
      <w:r>
        <w:rPr>
          <w:b/>
        </w:rPr>
        <w:t xml:space="preserve">M06 — Integration and handover — </w:t>
      </w:r>
      <w:r>
        <w:t>Run acceptance tests, fix defects, capture evidence and document how to launch the app.</w:t>
      </w:r>
    </w:p>
    <w:p>
      <w:r>
        <w:t>Workflow rule: complete one milestone, return the implementation report and test evidence for review, and proceed only after the milestone meets its acceptance criteria. Do not ask the coding agent to build the entire project in one prompt.</w:t>
      </w:r>
    </w:p>
    <w:p>
      <w:pPr>
        <w:pStyle w:val="Heading1"/>
      </w:pPr>
      <w:r>
        <w:t>8. Acceptance criteria</w:t>
      </w:r>
    </w:p>
    <w:p>
      <w:pPr>
        <w:pStyle w:val="ListBullet"/>
      </w:pPr>
      <w:r>
        <w:t>The app runs locally without cloud services or paid APIs.</w:t>
      </w:r>
    </w:p>
    <w:p>
      <w:pPr>
        <w:pStyle w:val="ListBullet"/>
      </w:pPr>
      <w:r>
        <w:t>The scanner detects the deliberately configured weaknesses rather than displaying a hardcoded finding count.</w:t>
      </w:r>
    </w:p>
    <w:p>
      <w:pPr>
        <w:pStyle w:val="ListBullet"/>
      </w:pPr>
      <w:r>
        <w:t>The vulnerable and secured scenarios produce different policy decisions for the same predefined mock request.</w:t>
      </w:r>
    </w:p>
    <w:p>
      <w:pPr>
        <w:pStyle w:val="ListBullet"/>
      </w:pPr>
      <w:r>
        <w:t>The secured scenario denies unauthorized requests while allowing an authorized test request.</w:t>
      </w:r>
    </w:p>
    <w:p>
      <w:pPr>
        <w:pStyle w:val="ListBullet"/>
      </w:pPr>
      <w:r>
        <w:t>Applying remediation changes configuration and the subsequent scan/access decision.</w:t>
      </w:r>
    </w:p>
    <w:p>
      <w:pPr>
        <w:pStyle w:val="ListBullet"/>
      </w:pPr>
      <w:r>
        <w:t>The app records the simulated access decision in an audit log.</w:t>
      </w:r>
    </w:p>
    <w:p>
      <w:pPr>
        <w:pStyle w:val="ListBullet"/>
      </w:pPr>
      <w:r>
        <w:t>The UI clearly labels all data and attack activity as simulated.</w:t>
      </w:r>
    </w:p>
    <w:p>
      <w:pPr>
        <w:pStyle w:val="ListBullet"/>
      </w:pPr>
      <w:r>
        <w:t>The team can explain how the prototype relates to the case study and where it simplifies the real incident.</w:t>
      </w:r>
    </w:p>
    <w:p>
      <w:pPr>
        <w:pStyle w:val="Heading1"/>
      </w:pPr>
      <w:r>
        <w:t>9. Suggested demo sequence (5–7 minutes)</w:t>
      </w:r>
    </w:p>
    <w:p>
      <w:pPr>
        <w:pStyle w:val="ListNumber"/>
      </w:pPr>
      <w:r>
        <w:rPr>
          <w:b/>
        </w:rPr>
        <w:t xml:space="preserve">Context (45–60 sec): </w:t>
      </w:r>
      <w:r>
        <w:t>Briefly explain the Capital One incident and why cloud configuration and permissions matter.</w:t>
      </w:r>
    </w:p>
    <w:p>
      <w:pPr>
        <w:pStyle w:val="ListNumber"/>
      </w:pPr>
      <w:r>
        <w:rPr>
          <w:b/>
        </w:rPr>
        <w:t xml:space="preserve">Scan (60 sec): </w:t>
      </w:r>
      <w:r>
        <w:t>Load the vulnerable scenario and show the findings.</w:t>
      </w:r>
    </w:p>
    <w:p>
      <w:pPr>
        <w:pStyle w:val="ListNumber"/>
      </w:pPr>
      <w:r>
        <w:rPr>
          <w:b/>
        </w:rPr>
        <w:t xml:space="preserve">Simulate (60 sec): </w:t>
      </w:r>
      <w:r>
        <w:t>Run the fixed mock request and show the vulnerable policy's decision and recorded event.</w:t>
      </w:r>
    </w:p>
    <w:p>
      <w:pPr>
        <w:pStyle w:val="ListNumber"/>
      </w:pPr>
      <w:r>
        <w:rPr>
          <w:b/>
        </w:rPr>
        <w:t xml:space="preserve">Remediate (60–90 sec): </w:t>
      </w:r>
      <w:r>
        <w:t>Apply fixes and explain least privilege and restricted storage access.</w:t>
      </w:r>
    </w:p>
    <w:p>
      <w:pPr>
        <w:pStyle w:val="ListNumber"/>
      </w:pPr>
      <w:r>
        <w:rPr>
          <w:b/>
        </w:rPr>
        <w:t xml:space="preserve">Verify (60 sec): </w:t>
      </w:r>
      <w:r>
        <w:t>Repeat the request; show denial for unauthorized access and success for an authorized request.</w:t>
      </w:r>
    </w:p>
    <w:p>
      <w:pPr>
        <w:pStyle w:val="ListNumber"/>
      </w:pPr>
      <w:r>
        <w:rPr>
          <w:b/>
        </w:rPr>
        <w:t xml:space="preserve">Close (30–45 sec): </w:t>
      </w:r>
      <w:r>
        <w:t>Show the audit trail and explain the prototype's limitations.</w:t>
      </w:r>
    </w:p>
    <w:p>
      <w:pPr>
        <w:pStyle w:val="Heading1"/>
      </w:pPr>
      <w:r>
        <w:t>10. Key terminology for both team members</w:t>
      </w:r>
    </w:p>
    <w:p>
      <w:pPr>
        <w:spacing w:after="60"/>
      </w:pPr>
      <w:r>
        <w:rPr>
          <w:b/>
        </w:rPr>
        <w:t xml:space="preserve">SSRF — </w:t>
      </w:r>
      <w:r>
        <w:t>Server-Side Request Forgery: a weakness where a server can be induced to make requests it should not make.</w:t>
      </w:r>
    </w:p>
    <w:p>
      <w:pPr>
        <w:spacing w:after="60"/>
      </w:pPr>
      <w:r>
        <w:rPr>
          <w:b/>
        </w:rPr>
        <w:t xml:space="preserve">IAM / least privilege — </w:t>
      </w:r>
      <w:r>
        <w:t>Identity and Access Management controls who can do what; least privilege grants only the permissions needed.</w:t>
      </w:r>
    </w:p>
    <w:p>
      <w:pPr>
        <w:spacing w:after="60"/>
      </w:pPr>
      <w:r>
        <w:rPr>
          <w:b/>
        </w:rPr>
        <w:t xml:space="preserve">Storage access control — </w:t>
      </w:r>
      <w:r>
        <w:t>Rules that determine which identities can read or modify stored data.</w:t>
      </w:r>
    </w:p>
    <w:p>
      <w:pPr>
        <w:spacing w:after="60"/>
      </w:pPr>
      <w:r>
        <w:rPr>
          <w:b/>
        </w:rPr>
        <w:t xml:space="preserve">Audit logging — </w:t>
      </w:r>
      <w:r>
        <w:t>A record of security-relevant actions and allow/deny decisions.</w:t>
      </w:r>
    </w:p>
    <w:p>
      <w:pPr>
        <w:spacing w:after="60"/>
      </w:pPr>
      <w:r>
        <w:rPr>
          <w:b/>
        </w:rPr>
        <w:t xml:space="preserve">Simulation boundary — </w:t>
      </w:r>
      <w:r>
        <w:t>Our prototype models these concepts locally; it is not a recreation of Capital One's production environment.</w:t>
      </w:r>
    </w:p>
    <w:p>
      <w:pPr>
        <w:pStyle w:val="Heading1"/>
      </w:pPr>
      <w:r>
        <w:t>11. Immediate next step</w:t>
      </w:r>
    </w:p>
    <w:p>
      <w:r>
        <w:t>Start with Milestone 00: run a read-only audit of the intended Antigravity workspace. Share the report with the project reviewer before creating or changing files. Once the workspace is understood, finalize the requirements and agree on the API contract before splitting implementation work.</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E78"/>
        <w:sz w:val="16"/>
      </w:rPr>
      <w:t>CloudGuard • CNS Case Study • Working project brief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A6973"/>
        <w:sz w:val="16"/>
      </w:rPr>
      <w:t>CNS CASE STUDY  |  PROJECT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43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5D7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