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sponse-to-reviewer-2"/>
    <w:p>
      <w:pPr>
        <w:pStyle w:val="Heading1"/>
      </w:pPr>
      <w:r>
        <w:t xml:space="preserve">Response to Reviewer 2</w:t>
      </w:r>
    </w:p>
    <w:p>
      <w:pPr>
        <w:pStyle w:val="FirstParagraph"/>
      </w:pPr>
      <w:r>
        <w:t xml:space="preserve">We thank Reviewer 2 for the careful and constructive evaluation of our manuscript,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Robust Transcription Factor Binding Site Prediction and Explainability Using a</w:t>
      </w:r>
      <w:r>
        <w:rPr>
          <w:iCs/>
          <w:i/>
        </w:rPr>
        <w:t xml:space="preserve"> </w:t>
      </w:r>
      <w:r>
        <w:rPr>
          <w:iCs/>
          <w:i/>
        </w:rPr>
        <w:t xml:space="preserve">Mixture of Experts Architecture.</w:t>
      </w:r>
      <w:r>
        <w:rPr>
          <w:iCs/>
          <w:i/>
        </w:rPr>
        <w:t xml:space="preserve">”</w:t>
      </w:r>
      <w:r>
        <w:t xml:space="preserve"> </w:t>
      </w:r>
      <w:r>
        <w:t xml:space="preserve">The comments prompted us to substantially</w:t>
      </w:r>
      <w:r>
        <w:t xml:space="preserve"> </w:t>
      </w:r>
      <w:r>
        <w:t xml:space="preserve">strengthen the experimental rigor, reproducibility, and honesty of the paper.</w:t>
      </w:r>
    </w:p>
    <w:p>
      <w:pPr>
        <w:pStyle w:val="BodyText"/>
      </w:pPr>
      <w:r>
        <w:t xml:space="preserve">Below we respond to each comment assigned to us (Comments 1–4, 6–8). Reviewer</w:t>
      </w:r>
      <w:r>
        <w:t xml:space="preserve"> </w:t>
      </w:r>
      <w:r>
        <w:t xml:space="preserve">comments are shown</w:t>
      </w:r>
      <w:r>
        <w:t xml:space="preserve"> </w:t>
      </w:r>
      <w:r>
        <w:rPr>
          <w:iCs/>
          <w:i/>
        </w:rPr>
        <w:t xml:space="preserve">in italics</w:t>
      </w:r>
      <w:r>
        <w:t xml:space="preserve">, followed by our</w:t>
      </w:r>
      <w:r>
        <w:t xml:space="preserve"> </w:t>
      </w:r>
      <w:r>
        <w:rPr>
          <w:bCs/>
          <w:b/>
        </w:rPr>
        <w:t xml:space="preserve">Response</w:t>
      </w:r>
      <w:r>
        <w:t xml:space="preserve">. Section references</w:t>
      </w:r>
      <w:r>
        <w:t xml:space="preserve"> </w:t>
      </w:r>
      <w:r>
        <w:t xml:space="preserve">point to the revised manuscript (</w:t>
      </w:r>
      <w:r>
        <w:rPr>
          <w:rStyle w:val="VerbatimChar"/>
        </w:rPr>
        <w:t xml:space="preserve">paper/edited.tex</w:t>
      </w:r>
      <w:r>
        <w:t xml:space="preserve">, where all changes are shown in</w:t>
      </w:r>
      <w:r>
        <w:t xml:space="preserve"> </w:t>
      </w:r>
      <w:r>
        <w:t xml:space="preserve">blue via the</w:t>
      </w:r>
      <w:r>
        <w:t xml:space="preserve"> </w:t>
      </w:r>
      <w:r>
        <w:rPr>
          <w:rStyle w:val="VerbatimChar"/>
        </w:rPr>
        <w:t xml:space="preserve">\rev{...}</w:t>
      </w:r>
      <w:r>
        <w:t xml:space="preserve"> </w:t>
      </w:r>
      <w:r>
        <w:t xml:space="preserve">macro). Items still requiring author confirmation are marked</w:t>
      </w:r>
      <w:r>
        <w:t xml:space="preserve"> </w:t>
      </w:r>
      <w:r>
        <w:rPr>
          <w:bCs/>
          <w:b/>
        </w:rPr>
        <w:t xml:space="preserve">ACTION NEEDED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ummary-of-the-most-important-revisions"/>
    <w:p>
      <w:pPr>
        <w:pStyle w:val="Heading2"/>
      </w:pPr>
      <w:r>
        <w:t xml:space="preserve">Summary of the most important revisions</w:t>
      </w:r>
    </w:p>
    <w:p>
      <w:pPr>
        <w:pStyle w:val="FirstParagraph"/>
      </w:pPr>
      <w:r>
        <w:t xml:space="preserve">While addressing these comments we discovered, and have now corrected, three issues</w:t>
      </w:r>
      <w:r>
        <w:t xml:space="preserve"> </w:t>
      </w:r>
      <w:r>
        <w:t xml:space="preserve">that materially affect how the results should be reported. We describe them up front</w:t>
      </w:r>
      <w:r>
        <w:t xml:space="preserve"> </w:t>
      </w:r>
      <w:r>
        <w:t xml:space="preserve">in the interest of full transparency: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The previously released model checkpoints did not fully</w:t>
      </w:r>
      <w:r>
        <w:t xml:space="preserve"> </w:t>
      </w:r>
      <w:r>
        <w:t xml:space="preserve">reproduce the published numbers (the ARID3A and FOXM1 experts reproduced, but the</w:t>
      </w:r>
      <w:r>
        <w:t xml:space="preserve"> </w:t>
      </w:r>
      <w:r>
        <w:t xml:space="preserve">released GATA3 expert — and therefore the MoE — did not). We have</w:t>
      </w:r>
      <w:r>
        <w:t xml:space="preserve"> </w:t>
      </w:r>
      <w:r>
        <w:rPr>
          <w:bCs/>
          <w:b/>
        </w:rPr>
        <w:t xml:space="preserve">retrained all</w:t>
      </w:r>
      <w:r>
        <w:rPr>
          <w:bCs/>
          <w:b/>
        </w:rPr>
        <w:t xml:space="preserve"> </w:t>
      </w:r>
      <w:r>
        <w:rPr>
          <w:bCs/>
          <w:b/>
        </w:rPr>
        <w:t xml:space="preserve">experts and the MoE from scratch with a fixed random seed</w:t>
      </w:r>
      <w:r>
        <w:t xml:space="preserve">, so the entire pipeline</w:t>
      </w:r>
      <w:r>
        <w:t xml:space="preserve"> </w:t>
      </w:r>
      <w:r>
        <w:t xml:space="preserve">is now bit-for-bit reproducible from</w:t>
      </w:r>
      <w:r>
        <w:t xml:space="preserve"> </w:t>
      </w:r>
      <w:r>
        <w:rPr>
          <w:rStyle w:val="VerbatimChar"/>
        </w:rPr>
        <w:t xml:space="preserve">python main.py --seed 42 --use_saved_hyperparams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python evaluate.py --protocol rigorous</w:t>
      </w:r>
      <w:r>
        <w:t xml:space="preserve"> </w:t>
      </w:r>
      <w:r>
        <w:t xml:space="preserve">(Comment 6).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Evaluation protocol.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</w:t>
      </w:r>
      <w:r>
        <w:t xml:space="preserve">bootstrap</w:t>
      </w:r>
      <w:r>
        <w:t xml:space="preserve">”</w:t>
      </w:r>
      <w:r>
        <w:t xml:space="preserve"> </w:t>
      </w:r>
      <w:r>
        <w:t xml:space="preserve">evaluation actually (i) added</w:t>
      </w:r>
      <w:r>
        <w:t xml:space="preserve"> </w:t>
      </w:r>
      <w:r>
        <w:t xml:space="preserve">synthetically dinucleotide-shuffled negatives on top of the already-balanced test</w:t>
      </w:r>
      <w:r>
        <w:t xml:space="preserve"> </w:t>
      </w:r>
      <w:r>
        <w:t xml:space="preserve">files (making the test sets ~25 % positive / 75 % negative) and (ii) left dropout</w:t>
      </w:r>
      <w:r>
        <w:t xml:space="preserve"> </w:t>
      </w:r>
      <w:r>
        <w:t xml:space="preserve">active at inference, giving Monte-Carlo-dropout variance rather than a true</w:t>
      </w:r>
      <w:r>
        <w:t xml:space="preserve"> </w:t>
      </w:r>
      <w:r>
        <w:t xml:space="preserve">bootstrap. Because the synthetic negatives are</w:t>
      </w:r>
      <w:r>
        <w:t xml:space="preserve"> </w:t>
      </w:r>
      <w:r>
        <w:rPr>
          <w:iCs/>
          <w:i/>
        </w:rPr>
        <w:t xml:space="preserve">easier</w:t>
      </w:r>
      <w:r>
        <w:t xml:space="preserve"> </w:t>
      </w:r>
      <w:r>
        <w:t xml:space="preserve">than the curated</w:t>
      </w:r>
      <w:r>
        <w:t xml:space="preserve"> </w:t>
      </w:r>
      <w:r>
        <w:t xml:space="preserve">experimental negatives, this inflated all absolute AUCs. We have</w:t>
      </w:r>
      <w:r>
        <w:t xml:space="preserve"> </w:t>
      </w:r>
      <w:r>
        <w:rPr>
          <w:bCs/>
          <w:b/>
        </w:rPr>
        <w:t xml:space="preserve">re-centered all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 on the balanced 500/500 curated test sets with deterministic inference</w:t>
      </w:r>
      <w:r>
        <w:rPr>
          <w:bCs/>
          <w:b/>
        </w:rPr>
        <w:t xml:space="preserve"> </w:t>
      </w:r>
      <w:r>
        <w:rPr>
          <w:bCs/>
          <w:b/>
        </w:rPr>
        <w:t xml:space="preserve">and a genuine paired bootstrap</w:t>
      </w:r>
      <w:r>
        <w:t xml:space="preserve"> </w:t>
      </w:r>
      <w:r>
        <w:t xml:space="preserve">(Comments 3, 4, 6).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Claims.</w:t>
      </w:r>
      <w:r>
        <w:t xml:space="preserve"> </w:t>
      </w:r>
      <w:r>
        <w:t xml:space="preserve">Under the corrected protocol the headline claim</w:t>
      </w:r>
      <w:r>
        <w:t xml:space="preserve"> </w:t>
      </w:r>
      <w:r>
        <w:t xml:space="preserve">“</w:t>
      </w:r>
      <w:r>
        <w:t xml:space="preserve">MoE is best on 5/6 OOD</w:t>
      </w:r>
      <w:r>
        <w:t xml:space="preserve"> </w:t>
      </w:r>
      <w:r>
        <w:t xml:space="preserve">datasets</w:t>
      </w:r>
      <w:r>
        <w:t xml:space="preserve">”</w:t>
      </w:r>
      <w:r>
        <w:t xml:space="preserve"> </w:t>
      </w:r>
      <w:r>
        <w:t xml:space="preserve">is replaced by the more defensible and still-valuable claim that</w:t>
      </w:r>
      <w:r>
        <w:t xml:space="preserve"> </w:t>
      </w:r>
      <w:r>
        <w:rPr>
          <w:bCs/>
          <w:b/>
        </w:rPr>
        <w:t xml:space="preserve">the MoE</w:t>
      </w:r>
      <w:r>
        <w:rPr>
          <w:bCs/>
          <w:b/>
        </w:rPr>
        <w:t xml:space="preserve"> </w:t>
      </w:r>
      <w:r>
        <w:rPr>
          <w:bCs/>
          <w:b/>
        </w:rPr>
        <w:t xml:space="preserve">is statistically indistinguishable from the single best expert on every</w:t>
      </w:r>
      <w:r>
        <w:rPr>
          <w:bCs/>
          <w:b/>
        </w:rPr>
        <w:t xml:space="preserve"> </w:t>
      </w:r>
      <w:r>
        <w:rPr>
          <w:bCs/>
          <w:b/>
        </w:rPr>
        <w:t xml:space="preserve">out-of-distribution TF, while significantly outperforming two of the three experts</w:t>
      </w:r>
      <w:r>
        <w:rPr>
          <w:bCs/>
          <w:b/>
        </w:rPr>
        <w:t xml:space="preserve"> </w:t>
      </w:r>
      <w:r>
        <w:rPr>
          <w:bCs/>
          <w:b/>
        </w:rPr>
        <w:t xml:space="preserve">on every OOD TF</w:t>
      </w:r>
      <w:r>
        <w:t xml:space="preserve"> </w:t>
      </w:r>
      <w:r>
        <w:t xml:space="preserve">— i.e., without knowing in advance which expert suits an unseen</w:t>
      </w:r>
      <w:r>
        <w:t xml:space="preserve"> </w:t>
      </w:r>
      <w:r>
        <w:t xml:space="preserve">factor, the gating network reliably matches the best one (Comments 3, 4).</w:t>
      </w:r>
    </w:p>
    <w:p>
      <w:pPr>
        <w:pStyle w:val="FirstParagraph"/>
      </w:pPr>
      <w:r>
        <w:t xml:space="preserve">All numbers below come from the regenerated, seeded pipeline.</w:t>
      </w:r>
    </w:p>
    <w:p>
      <w:r>
        <w:pict>
          <v:rect style="width:0;height:1.5pt" o:hralign="center" o:hrstd="t" o:hr="t"/>
        </w:pict>
      </w:r>
    </w:p>
    <w:bookmarkEnd w:id="20"/>
    <w:bookmarkStart w:id="21" w:name="X31bf444dfa04555fa7d86eefdf609f692a7ea98"/>
    <w:p>
      <w:pPr>
        <w:pStyle w:val="Heading2"/>
      </w:pPr>
      <w:r>
        <w:t xml:space="preserve">Comment 1 — Differentiation from ensemble learning, weighted averaging, and stacking</w:t>
      </w:r>
    </w:p>
    <w:p>
      <w:pPr>
        <w:pStyle w:val="BlockText"/>
      </w:pPr>
      <w:r>
        <w:rPr>
          <w:iCs/>
          <w:i/>
        </w:rPr>
        <w:t xml:space="preserve">The authors should explicitly differentiate the proposed framework from</w:t>
      </w:r>
      <w:r>
        <w:rPr>
          <w:iCs/>
          <w:i/>
        </w:rPr>
        <w:t xml:space="preserve"> </w:t>
      </w:r>
      <w:r>
        <w:rPr>
          <w:iCs/>
          <w:i/>
        </w:rPr>
        <w:t xml:space="preserve">conventional ensemble learning, weighted averaging, and stacking approaches.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have added an explicit differentiation in revised</w:t>
      </w:r>
      <w:r>
        <w:t xml:space="preserve"> </w:t>
      </w:r>
      <w:r>
        <w:rPr>
          <w:bCs/>
          <w:b/>
        </w:rPr>
        <w:t xml:space="preserve">Section 2.1</w:t>
      </w:r>
      <w:r>
        <w:t xml:space="preserve">,</w:t>
      </w:r>
      <w:r>
        <w:t xml:space="preserve"> </w:t>
      </w:r>
      <w:r>
        <w:t xml:space="preserve">including a new comparison table (Table</w:t>
      </w:r>
      <w:r>
        <w:t xml:space="preserve"> </w:t>
      </w:r>
      <w:r>
        <w:t xml:space="preserve">“</w:t>
      </w:r>
      <w:r>
        <w:t xml:space="preserve">MoE vs. ensemble schemes</w:t>
      </w:r>
      <w:r>
        <w:t xml:space="preserve">”</w:t>
      </w:r>
      <w:r>
        <w:t xml:space="preserve">). The proposed</w:t>
      </w:r>
      <w:r>
        <w:t xml:space="preserve"> </w:t>
      </w:r>
      <w:r>
        <w:t xml:space="preserve">framework differs from the named approaches on three concrete axes: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vs. fixed weighted averaging / bagging / voting:</w:t>
      </w:r>
      <w:r>
        <w:t xml:space="preserve"> </w:t>
      </w:r>
      <w:r>
        <w:t xml:space="preserve">our gating network produces</w:t>
      </w:r>
      <w:r>
        <w:t xml:space="preserve"> </w:t>
      </w:r>
      <w:r>
        <w:rPr>
          <w:iCs/>
          <w:i/>
        </w:rPr>
        <w:t xml:space="preserve">input-dependent</w:t>
      </w:r>
      <w:r>
        <w:t xml:space="preserve"> </w:t>
      </w:r>
      <w:r>
        <w:t xml:space="preserve">softmax weights — the contribution of each expert is recomputed</w:t>
      </w:r>
      <w:r>
        <w:t xml:space="preserve"> </w:t>
      </w:r>
      <w:r>
        <w:t xml:space="preserve">for every input sequence, rather than being a constant (or uniform) learned</w:t>
      </w:r>
      <w:r>
        <w:t xml:space="preserve"> </w:t>
      </w:r>
      <w:r>
        <w:t xml:space="preserve">coefficient.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vs. stacking:</w:t>
      </w:r>
      <w:r>
        <w:t xml:space="preserve"> </w:t>
      </w:r>
      <w:r>
        <w:t xml:space="preserve">stacking trains a meta-learner on the base models’</w:t>
      </w:r>
      <w:r>
        <w:t xml:space="preserve"> </w:t>
      </w:r>
      <w:r>
        <w:rPr>
          <w:iCs/>
          <w:i/>
        </w:rPr>
        <w:t xml:space="preserve">predictions</w:t>
      </w:r>
      <w:r>
        <w:t xml:space="preserve"> </w:t>
      </w:r>
      <w:r>
        <w:t xml:space="preserve">(output probabilities). Our gating network instead operates on the experts’</w:t>
      </w:r>
      <w:r>
        <w:t xml:space="preserve"> </w:t>
      </w:r>
      <w:r>
        <w:t xml:space="preserve">internal 32-dimensional</w:t>
      </w:r>
      <w:r>
        <w:t xml:space="preserve"> </w:t>
      </w:r>
      <w:r>
        <w:rPr>
          <w:iCs/>
          <w:i/>
        </w:rPr>
        <w:t xml:space="preserve">embeddings</w:t>
      </w:r>
      <w:r>
        <w:t xml:space="preserve">, with each expert’s own classifier head</w:t>
      </w:r>
      <w:r>
        <w:t xml:space="preserve"> </w:t>
      </w:r>
      <w:r>
        <w:t xml:space="preserve">removed — the experts contribute learned representations, not final decisions.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vs. sparse / top-k MoE:</w:t>
      </w:r>
      <w:r>
        <w:t xml:space="preserve"> </w:t>
      </w:r>
      <w:r>
        <w:t xml:space="preserve">all experts are evaluated for every input (a dense, N:1</w:t>
      </w:r>
      <w:r>
        <w:t xml:space="preserve"> </w:t>
      </w:r>
      <w:r>
        <w:rPr>
          <w:iCs/>
          <w:i/>
        </w:rPr>
        <w:t xml:space="preserve">soft</w:t>
      </w:r>
      <w:r>
        <w:t xml:space="preserve"> </w:t>
      </w:r>
      <w:r>
        <w:t xml:space="preserve">mixture); no input is routed away from any expert.</w:t>
      </w:r>
    </w:p>
    <w:p>
      <w:pPr>
        <w:pStyle w:val="FirstParagraph"/>
      </w:pPr>
      <w:r>
        <w:t xml:space="preserve">These distinctions are summarized in the new table and were already partially present</w:t>
      </w:r>
      <w:r>
        <w:t xml:space="preserve"> </w:t>
      </w:r>
      <w:r>
        <w:t xml:space="preserve">in the dense-vs-sparse discussion; the revision makes the ensemble/stacking contrast</w:t>
      </w:r>
      <w:r>
        <w:t xml:space="preserve"> </w:t>
      </w:r>
      <w:r>
        <w:t xml:space="preserve">explicit.</w:t>
      </w:r>
    </w:p>
    <w:p>
      <w:r>
        <w:pict>
          <v:rect style="width:0;height:1.5pt" o:hralign="center" o:hrstd="t" o:hr="t"/>
        </w:pict>
      </w:r>
    </w:p>
    <w:bookmarkEnd w:id="21"/>
    <w:bookmarkStart w:id="22" w:name="X0e9a632c838d07aeb438bcd0ae904e16ab720a3"/>
    <w:p>
      <w:pPr>
        <w:pStyle w:val="Heading2"/>
      </w:pPr>
      <w:r>
        <w:t xml:space="preserve">Comment 2 — Comparison with state-of-the-art TFBS methods</w:t>
      </w:r>
    </w:p>
    <w:p>
      <w:pPr>
        <w:pStyle w:val="BlockText"/>
      </w:pPr>
      <w:r>
        <w:rPr>
          <w:iCs/>
          <w:i/>
        </w:rPr>
        <w:t xml:space="preserve">The manuscript should include comparisons with state-of-the-art TFBS prediction</w:t>
      </w:r>
      <w:r>
        <w:rPr>
          <w:iCs/>
          <w:i/>
        </w:rPr>
        <w:t xml:space="preserve"> </w:t>
      </w:r>
      <w:r>
        <w:rPr>
          <w:iCs/>
          <w:i/>
        </w:rPr>
        <w:t xml:space="preserve">methods such as DeepSEA, DanQ, BPNet, DNABERT, or other recent transformer-based</w:t>
      </w:r>
      <w:r>
        <w:rPr>
          <w:iCs/>
          <w:i/>
        </w:rPr>
        <w:t xml:space="preserve"> </w:t>
      </w:r>
      <w:r>
        <w:rPr>
          <w:iCs/>
          <w:i/>
        </w:rPr>
        <w:t xml:space="preserve">genomic models.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implemented and trained</w:t>
      </w:r>
      <w:r>
        <w:t xml:space="preserve"> </w:t>
      </w:r>
      <w:r>
        <w:rPr>
          <w:bCs/>
          <w:b/>
        </w:rPr>
        <w:t xml:space="preserve">DeepSEA</w:t>
      </w:r>
      <w:r>
        <w:t xml:space="preserve">,</w:t>
      </w:r>
      <w:r>
        <w:t xml:space="preserve"> </w:t>
      </w:r>
      <w:r>
        <w:rPr>
          <w:bCs/>
          <w:b/>
        </w:rPr>
        <w:t xml:space="preserve">DanQ</w:t>
      </w:r>
      <w:r>
        <w:t xml:space="preserve">, and</w:t>
      </w:r>
      <w:r>
        <w:t xml:space="preserve"> </w:t>
      </w:r>
      <w:r>
        <w:rPr>
          <w:bCs/>
          <w:b/>
        </w:rPr>
        <w:t xml:space="preserve">DNABERT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baselines.py</w:t>
      </w:r>
      <w:r>
        <w:t xml:space="preserve">) on the identical training data (the three</w:t>
      </w:r>
      <w:r>
        <w:t xml:space="preserve"> </w:t>
      </w:r>
      <w:r>
        <w:rPr>
          <w:rStyle w:val="VerbatimChar"/>
        </w:rPr>
        <w:t xml:space="preserve">_AC</w:t>
      </w:r>
      <w:r>
        <w:t xml:space="preserve"> </w:t>
      </w:r>
      <w:r>
        <w:t xml:space="preserve">files with</w:t>
      </w:r>
      <w:r>
        <w:t xml:space="preserve"> </w:t>
      </w:r>
      <w:r>
        <w:t xml:space="preserve">dinucleotide-shuffle negatives) and evaluated them with the</w:t>
      </w:r>
      <w:r>
        <w:t xml:space="preserve"> </w:t>
      </w:r>
      <w:r>
        <w:rPr>
          <w:iCs/>
          <w:i/>
        </w:rPr>
        <w:t xml:space="preserve">identical</w:t>
      </w:r>
      <w:r>
        <w:t xml:space="preserve"> </w:t>
      </w:r>
      <w:r>
        <w:t xml:space="preserve">rigorous</w:t>
      </w:r>
      <w:r>
        <w:t xml:space="preserve"> </w:t>
      </w:r>
      <w:r>
        <w:t xml:space="preserve">protocol used for our models (balanced 500/500 curated test sets, deterministic</w:t>
      </w:r>
      <w:r>
        <w:t xml:space="preserve"> </w:t>
      </w:r>
      <w:r>
        <w:t xml:space="preserve">inference, B = 1000 paired bootstrap). Each baseline is trained per in-distribution TF</w:t>
      </w:r>
      <w:r>
        <w:t xml:space="preserve"> </w:t>
      </w:r>
      <w:r>
        <w:t xml:space="preserve">and mean-ensembled across the three, matching the three-expert structure of our MoE.</w:t>
      </w:r>
      <w:r>
        <w:t xml:space="preserve"> </w:t>
      </w:r>
      <w:r>
        <w:t xml:space="preserve">Results are added to revised</w:t>
      </w:r>
      <w:r>
        <w:t xml:space="preserve"> </w:t>
      </w:r>
      <w:r>
        <w:rPr>
          <w:bCs/>
          <w:b/>
        </w:rPr>
        <w:t xml:space="preserve">Section 4</w:t>
      </w:r>
      <w:r>
        <w:t xml:space="preserve"> </w:t>
      </w:r>
      <w:r>
        <w:t xml:space="preserve">(new baseline-comparison tables).</w:t>
      </w:r>
    </w:p>
    <w:p>
      <w:pPr>
        <w:pStyle w:val="BodyText"/>
      </w:pPr>
      <w:r>
        <w:rPr>
          <w:bCs/>
          <w:b/>
        </w:rPr>
        <w:t xml:space="preserve">Out-of-distribution mean AUC (across the 6 OOD TFs):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 mean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DNABERT (fine-tuned)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 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FOXM1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ARID3A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GATA3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</w:t>
            </w:r>
          </w:p>
        </w:tc>
      </w:tr>
    </w:tbl>
    <w:p>
      <w:pPr>
        <w:pStyle w:val="BodyText"/>
      </w:pPr>
      <w:r>
        <w:rPr>
          <w:bCs/>
          <w:b/>
        </w:rPr>
        <w:t xml:space="preserve">In-distribution mean AUC:</w:t>
      </w:r>
      <w:r>
        <w:t xml:space="preserve"> </w:t>
      </w:r>
      <w:r>
        <w:t xml:space="preserve">DNABERT 0.775, DeepSEA 0.734, DanQ 0.726, MoE 0.707.</w:t>
      </w:r>
    </w:p>
    <w:p>
      <w:pPr>
        <w:pStyle w:val="BodyText"/>
      </w:pPr>
      <w:r>
        <w:t xml:space="preserve">We report these results honestly. Two points contextualize them: (i) the MoE is built</w:t>
      </w:r>
      <w:r>
        <w:t xml:space="preserve"> </w:t>
      </w:r>
      <w:r>
        <w:t xml:space="preserve">on lightweight</w:t>
      </w:r>
      <w:r>
        <w:t xml:space="preserve"> </w:t>
      </w:r>
      <w:r>
        <w:rPr>
          <w:iCs/>
          <w:i/>
        </w:rPr>
        <w:t xml:space="preserve">modified-DeepBIND</w:t>
      </w:r>
      <w:r>
        <w:t xml:space="preserve"> </w:t>
      </w:r>
      <w:r>
        <w:t xml:space="preserve">experts, and is</w:t>
      </w:r>
      <w:r>
        <w:t xml:space="preserve"> </w:t>
      </w:r>
      <w:r>
        <w:rPr>
          <w:bCs/>
          <w:b/>
        </w:rPr>
        <w:t xml:space="preserve">competitive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same-generation CNN baselines</w:t>
      </w:r>
      <w:r>
        <w:t xml:space="preserve"> </w:t>
      </w:r>
      <w:r>
        <w:t xml:space="preserve">DeepSEA and DanQ (within ~0.01 OOD AUC, with</w:t>
      </w:r>
      <w:r>
        <w:t xml:space="preserve"> </w:t>
      </w:r>
      <w:r>
        <w:t xml:space="preserve">overlapping bootstrap CIs); (ii)</w:t>
      </w:r>
      <w:r>
        <w:t xml:space="preserve"> </w:t>
      </w:r>
      <w:r>
        <w:rPr>
          <w:bCs/>
          <w:b/>
        </w:rPr>
        <w:t xml:space="preserve">DNABERT’s large-scale genomic pre-training gives it</w:t>
      </w:r>
      <w:r>
        <w:rPr>
          <w:bCs/>
          <w:b/>
        </w:rPr>
        <w:t xml:space="preserve"> </w:t>
      </w:r>
      <w:r>
        <w:rPr>
          <w:bCs/>
          <w:b/>
        </w:rPr>
        <w:t xml:space="preserve">the strongest raw AUC</w:t>
      </w:r>
      <w:r>
        <w:t xml:space="preserve">, which we now state explicitly. Our contribution is the</w:t>
      </w:r>
      <w:r>
        <w:t xml:space="preserve"> </w:t>
      </w:r>
      <w:r>
        <w:rPr>
          <w:iCs/>
          <w:i/>
        </w:rPr>
        <w:t xml:space="preserve">MoE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</w:t>
      </w:r>
      <w:r>
        <w:t xml:space="preserve"> </w:t>
      </w:r>
      <w:r>
        <w:t xml:space="preserve">— input-dependent gating that attains best-expert performance without</w:t>
      </w:r>
      <w:r>
        <w:t xml:space="preserve"> </w:t>
      </w:r>
      <w:r>
        <w:t xml:space="preserve">oracle knowledge of the target TF, together with the ShiftSmooth interpretability</w:t>
      </w:r>
      <w:r>
        <w:t xml:space="preserve"> </w:t>
      </w:r>
      <w:r>
        <w:t xml:space="preserve">method — and this framework is</w:t>
      </w:r>
      <w:r>
        <w:t xml:space="preserve"> </w:t>
      </w:r>
      <w:r>
        <w:rPr>
          <w:bCs/>
          <w:b/>
        </w:rPr>
        <w:t xml:space="preserve">backbone-agnostic</w:t>
      </w:r>
      <w:r>
        <w:t xml:space="preserve">: instantiating it with stronger</w:t>
      </w:r>
      <w:r>
        <w:t xml:space="preserve"> </w:t>
      </w:r>
      <w:r>
        <w:t xml:space="preserve">experts (e.g., DNABERT experts) is a natural and promising direction, now noted as</w:t>
      </w:r>
      <w:r>
        <w:t xml:space="preserve"> </w:t>
      </w:r>
      <w:r>
        <w:t xml:space="preserve">future work.</w:t>
      </w:r>
    </w:p>
    <w:p>
      <w:pPr>
        <w:pStyle w:val="BodyText"/>
      </w:pPr>
      <w:r>
        <w:rPr>
          <w:bCs/>
          <w:b/>
        </w:rPr>
        <w:t xml:space="preserve">BPNet</w:t>
      </w:r>
      <w:r>
        <w:t xml:space="preserve"> </w:t>
      </w:r>
      <w:r>
        <w:t xml:space="preserve">is intentionally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given an AUC row: it predicts base-resolution binding</w:t>
      </w:r>
      <w:r>
        <w:t xml:space="preserve"> </w:t>
      </w:r>
      <w:r>
        <w:rPr>
          <w:iCs/>
          <w:i/>
        </w:rPr>
        <w:t xml:space="preserve">profiles</w:t>
      </w:r>
      <w:r>
        <w:t xml:space="preserve"> </w:t>
      </w:r>
      <w:r>
        <w:t xml:space="preserve">(a regression task), not a single binary bound/unbound call, so it is not</w:t>
      </w:r>
      <w:r>
        <w:t xml:space="preserve"> </w:t>
      </w:r>
      <w:r>
        <w:t xml:space="preserve">directly comparable on AUC. We discuss it as a methodological caveat in revised</w:t>
      </w:r>
      <w:r>
        <w:t xml:space="preserve"> </w:t>
      </w:r>
      <w:r>
        <w:t xml:space="preserve">Section 4.</w:t>
      </w:r>
    </w:p>
    <w:p>
      <w:pPr>
        <w:pStyle w:val="BlockText"/>
      </w:pPr>
      <w:r>
        <w:rPr>
          <w:bCs/>
          <w:b/>
        </w:rPr>
        <w:t xml:space="preserve">ACTION NEEDED.</w:t>
      </w:r>
      <w:r>
        <w:t xml:space="preserve"> </w:t>
      </w:r>
      <w:r>
        <w:t xml:space="preserve">Please confirm you are comfortable reporting the baseline table as</w:t>
      </w:r>
      <w:r>
        <w:t xml:space="preserve"> </w:t>
      </w:r>
      <w:r>
        <w:t xml:space="preserve">above (DNABERT &gt; MoE on raw AUC). We recommend keeping it — it is honest, the</w:t>
      </w:r>
      <w:r>
        <w:t xml:space="preserve"> </w:t>
      </w:r>
      <w:r>
        <w:t xml:space="preserve">reviewer explicitly requested it, and the</w:t>
      </w:r>
      <w:r>
        <w:t xml:space="preserve"> </w:t>
      </w:r>
      <w:r>
        <w:t xml:space="preserve">“</w:t>
      </w:r>
      <w:r>
        <w:t xml:space="preserve">backbone-agnostic framework +</w:t>
      </w:r>
      <w:r>
        <w:t xml:space="preserve"> </w:t>
      </w:r>
      <w:r>
        <w:t xml:space="preserve">interpretability</w:t>
      </w:r>
      <w:r>
        <w:t xml:space="preserve">”</w:t>
      </w:r>
      <w:r>
        <w:t xml:space="preserve"> </w:t>
      </w:r>
      <w:r>
        <w:t xml:space="preserve">framing is defensible.</w:t>
      </w:r>
    </w:p>
    <w:p>
      <w:r>
        <w:pict>
          <v:rect style="width:0;height:1.5pt" o:hralign="center" o:hrstd="t" o:hr="t"/>
        </w:pict>
      </w:r>
    </w:p>
    <w:bookmarkEnd w:id="22"/>
    <w:bookmarkStart w:id="23" w:name="Xc474090cd9b52100c3ee478177d99f8d2c55583"/>
    <w:p>
      <w:pPr>
        <w:pStyle w:val="Heading2"/>
      </w:pPr>
      <w:r>
        <w:t xml:space="preserve">Comment 3 — Exact p-values, effect sizes, and post-hoc tests</w:t>
      </w:r>
    </w:p>
    <w:p>
      <w:pPr>
        <w:pStyle w:val="BlockText"/>
      </w:pPr>
      <w:r>
        <w:rPr>
          <w:iCs/>
          <w:i/>
        </w:rPr>
        <w:t xml:space="preserve">Although ANOVA has been applied, the manuscript should report exact p-values, effect</w:t>
      </w:r>
      <w:r>
        <w:rPr>
          <w:iCs/>
          <w:i/>
        </w:rPr>
        <w:t xml:space="preserve"> </w:t>
      </w:r>
      <w:r>
        <w:rPr>
          <w:iCs/>
          <w:i/>
        </w:rPr>
        <w:t xml:space="preserve">sizes, and appropriate post-hoc statistical tests to support the claims of</w:t>
      </w:r>
      <w:r>
        <w:rPr>
          <w:iCs/>
          <w:i/>
        </w:rPr>
        <w:t xml:space="preserve"> </w:t>
      </w:r>
      <w:r>
        <w:rPr>
          <w:iCs/>
          <w:i/>
        </w:rPr>
        <w:t xml:space="preserve">significance.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added a full statistical analysis (</w:t>
      </w:r>
      <w:r>
        <w:rPr>
          <w:rStyle w:val="VerbatimChar"/>
        </w:rPr>
        <w:t xml:space="preserve">stats.py</w:t>
      </w:r>
      <w:r>
        <w:t xml:space="preserve">) and report it in</w:t>
      </w:r>
      <w:r>
        <w:t xml:space="preserve"> </w:t>
      </w:r>
      <w:r>
        <w:t xml:space="preserve">revised</w:t>
      </w:r>
      <w:r>
        <w:t xml:space="preserve"> </w:t>
      </w:r>
      <w:r>
        <w:rPr>
          <w:bCs/>
          <w:b/>
        </w:rPr>
        <w:t xml:space="preserve">Section 3.5.4 / Section 4</w:t>
      </w:r>
      <w:r>
        <w:t xml:space="preserve">. For each dataset we report one-way ANOVA over</w:t>
      </w:r>
      <w:r>
        <w:t xml:space="preserve"> </w:t>
      </w:r>
      <w:r>
        <w:t xml:space="preserve">the four models with exact p-values, effect sizes (η² and ω²), and — as the</w:t>
      </w:r>
      <w:r>
        <w:t xml:space="preserve"> </w:t>
      </w:r>
      <w:r>
        <w:t xml:space="preserve">multiplicity-aware post-hoc — the</w:t>
      </w:r>
      <w:r>
        <w:t xml:space="preserve"> </w:t>
      </w:r>
      <w:r>
        <w:rPr>
          <w:bCs/>
          <w:b/>
        </w:rPr>
        <w:t xml:space="preserve">paired bootstrap difference</w:t>
      </w:r>
      <w:r>
        <w:t xml:space="preserve"> </w:t>
      </w:r>
      <w:r>
        <w:t xml:space="preserve">of the MoE against</w:t>
      </w:r>
      <w:r>
        <w:t xml:space="preserve"> </w:t>
      </w:r>
      <w:r>
        <w:t xml:space="preserve">each expert with its 95 % confidence interval (the paired bootstrap is the correct</w:t>
      </w:r>
      <w:r>
        <w:t xml:space="preserve"> </w:t>
      </w:r>
      <w:r>
        <w:t xml:space="preserve">post-hoc here because the four models are evaluated on a common resampling index; we</w:t>
      </w:r>
      <w:r>
        <w:t xml:space="preserve"> </w:t>
      </w:r>
      <w:r>
        <w:t xml:space="preserve">also provide Tukey HSD for the legacy protocol). The new post-hoc tables (</w:t>
      </w:r>
      <w:r>
        <w:rPr>
          <w:rStyle w:val="VerbatimChar"/>
        </w:rPr>
        <w:t xml:space="preserve">*</w:t>
      </w:r>
      <w:r>
        <w:t xml:space="preserve"> </w:t>
      </w:r>
      <w:r>
        <w:t xml:space="preserve">= the</w:t>
      </w:r>
      <w:r>
        <w:t xml:space="preserve"> </w:t>
      </w:r>
      <w:r>
        <w:t xml:space="preserve">MoE−expert 95 % CI excludes 0):</w:t>
      </w:r>
    </w:p>
    <w:p>
      <w:pPr>
        <w:pStyle w:val="BodyText"/>
      </w:pPr>
      <w:r>
        <w:rPr>
          <w:bCs/>
          <w:b/>
        </w:rPr>
        <w:t xml:space="preserve">Out-of-distribution (paired-bootstrap MoE − expert, B = 1000):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mean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ARID3A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FOXM1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GATA3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(rank of MoE)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BCLAF1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/ FOXM1 tie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−0.002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+0.322*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ARID3A, MoE tie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POLR2A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−0.013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FOXM1, MoE tie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RBBP5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FOXM1, MoE tie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/ FOXM1 tie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(1)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Reading:</w:t>
      </w:r>
      <w:r>
        <w:t xml:space="preserve"> </w:t>
      </w:r>
      <w:r>
        <w:t xml:space="preserve">on every OOD TF the MoE is</w:t>
      </w:r>
      <w:r>
        <w:t xml:space="preserve"> </w:t>
      </w:r>
      <w:r>
        <w:rPr>
          <w:iCs/>
          <w:i/>
        </w:rPr>
        <w:t xml:space="preserve">statistically indistinguishable from the best</w:t>
      </w:r>
      <w:r>
        <w:rPr>
          <w:iCs/>
          <w:i/>
        </w:rPr>
        <w:t xml:space="preserve"> </w:t>
      </w:r>
      <w:r>
        <w:rPr>
          <w:iCs/>
          <w:i/>
        </w:rPr>
        <w:t xml:space="preserve">single expert</w:t>
      </w:r>
      <w:r>
        <w:t xml:space="preserve"> </w:t>
      </w:r>
      <w:r>
        <w:t xml:space="preserve">(its difference vs. that expert spans 0) and</w:t>
      </w:r>
      <w:r>
        <w:t xml:space="preserve"> </w:t>
      </w:r>
      <w:r>
        <w:rPr>
          <w:iCs/>
          <w:i/>
        </w:rPr>
        <w:t xml:space="preserve">significantly better than</w:t>
      </w:r>
      <w:r>
        <w:rPr>
          <w:iCs/>
          <w:i/>
        </w:rPr>
        <w:t xml:space="preserve"> </w:t>
      </w:r>
      <w:r>
        <w:rPr>
          <w:iCs/>
          <w:i/>
        </w:rPr>
        <w:t xml:space="preserve">two of the three experts</w:t>
      </w:r>
      <w:r>
        <w:t xml:space="preserve">. It never significantly underperforms any expert on OOD</w:t>
      </w:r>
      <w:r>
        <w:t xml:space="preserve"> </w:t>
      </w:r>
      <w:r>
        <w:t xml:space="preserve">data. In-distribution (revised Section 4.1), the MoE ranks 2nd on each TF — it loses</w:t>
      </w:r>
      <w:r>
        <w:t xml:space="preserve"> </w:t>
      </w:r>
      <w:r>
        <w:t xml:space="preserve">significantly only to that TF’s own specialist expert and beats the other two</w:t>
      </w:r>
      <w:r>
        <w:t xml:space="preserve"> </w:t>
      </w:r>
      <w:r>
        <w:t xml:space="preserve">significantly — which is expected.</w:t>
      </w:r>
    </w:p>
    <w:p>
      <w:pPr>
        <w:pStyle w:val="BodyText"/>
      </w:pPr>
      <w:r>
        <w:t xml:space="preserve">All ANOVA F-statistics are highly significant (p &lt; 1e-15). We note transparently that,</w:t>
      </w:r>
      <w:r>
        <w:t xml:space="preserve"> </w:t>
      </w:r>
      <w:r>
        <w:t xml:space="preserve">because the bootstrap replicates are not independent, the ANOVA F/p are descriptive;</w:t>
      </w:r>
      <w:r>
        <w:t xml:space="preserve"> </w:t>
      </w:r>
      <w:r>
        <w:t xml:space="preserve">the paired-bootstrap CIs are the inferential basis for the significance claims. The</w:t>
      </w:r>
      <w:r>
        <w:t xml:space="preserve"> </w:t>
      </w:r>
      <w:r>
        <w:t xml:space="preserve">effect-size columns (η², ω²) are reported in the full table in</w:t>
      </w:r>
      <w:r>
        <w:t xml:space="preserve"> </w:t>
      </w:r>
      <w:r>
        <w:rPr>
          <w:rStyle w:val="VerbatimChar"/>
        </w:rPr>
        <w:t xml:space="preserve">results/stats/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c3fb7001628ca6f51b21474660052359a637935"/>
    <w:p>
      <w:pPr>
        <w:pStyle w:val="Heading2"/>
      </w:pPr>
      <w:r>
        <w:t xml:space="preserve">Comment 4 — Clarification of the OOD evaluation strategy</w:t>
      </w:r>
    </w:p>
    <w:p>
      <w:pPr>
        <w:pStyle w:val="BlockText"/>
      </w:pPr>
      <w:r>
        <w:rPr>
          <w:iCs/>
          <w:i/>
        </w:rPr>
        <w:t xml:space="preserve">The out-of-distribution (OOD) evaluation strategy requires additional</w:t>
      </w:r>
      <w:r>
        <w:rPr>
          <w:iCs/>
          <w:i/>
        </w:rPr>
        <w:t xml:space="preserve"> </w:t>
      </w:r>
      <w:r>
        <w:rPr>
          <w:iCs/>
          <w:i/>
        </w:rPr>
        <w:t xml:space="preserve">clarification.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expanded the OOD description in revised</w:t>
      </w:r>
      <w:r>
        <w:t xml:space="preserve"> </w:t>
      </w:r>
      <w:r>
        <w:rPr>
          <w:bCs/>
          <w:b/>
        </w:rPr>
        <w:t xml:space="preserve">Sections 3.5 and 4.2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Training factors:</w:t>
      </w:r>
      <w:r>
        <w:t xml:space="preserve"> </w:t>
      </w:r>
      <w:r>
        <w:t xml:space="preserve">the three experts and the gating network are trained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the three in-distribution TFs (ARID3A, FOXM1, GATA3).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OOD factors:</w:t>
      </w:r>
      <w:r>
        <w:t xml:space="preserve"> </w:t>
      </w:r>
      <w:r>
        <w:t xml:space="preserve">the six OOD TFs (BCLAF1, CTCF, POLR2A, RBBP5, SAP30, STAT3) are</w:t>
      </w:r>
      <w:r>
        <w:t xml:space="preserve"> </w:t>
      </w:r>
      <w:r>
        <w:rPr>
          <w:iCs/>
          <w:i/>
        </w:rPr>
        <w:t xml:space="preserve">never seen during training</w:t>
      </w:r>
      <w:r>
        <w:t xml:space="preserve"> </w:t>
      </w:r>
      <w:r>
        <w:t xml:space="preserve">of any component — neither the experts nor the gate —</w:t>
      </w:r>
      <w:r>
        <w:t xml:space="preserve"> </w:t>
      </w:r>
      <w:r>
        <w:t xml:space="preserve">so there is no information leakage. They were selected from distinct ENCODE</w:t>
      </w:r>
      <w:r>
        <w:t xml:space="preserve"> </w:t>
      </w:r>
      <w:r>
        <w:t xml:space="preserve">cell-line/antibody/laboratory conditions to span diverse binding profiles.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composition:</w:t>
      </w:r>
      <w:r>
        <w:t xml:space="preserve"> </w:t>
      </w:r>
      <w:r>
        <w:t xml:space="preserve">OOD evaluation uses the curated balanced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sets (500</w:t>
      </w:r>
      <w:r>
        <w:t xml:space="preserve"> </w:t>
      </w:r>
      <w:r>
        <w:t xml:space="preserve">experimentally determined positives + 500 experimental negatives per TF). We have</w:t>
      </w:r>
      <w:r>
        <w:t xml:space="preserve"> </w:t>
      </w:r>
      <w:r>
        <w:t xml:space="preserve">corrected the earlier</w:t>
      </w:r>
      <w:r>
        <w:t xml:space="preserve"> </w:t>
      </w:r>
      <w:r>
        <w:rPr>
          <w:rStyle w:val="VerbatimChar"/>
        </w:rPr>
        <w:t xml:space="preserve">_AC</w:t>
      </w:r>
      <w:r>
        <w:t xml:space="preserve">/</w:t>
      </w:r>
      <w:r>
        <w:rPr>
          <w:rStyle w:val="VerbatimChar"/>
        </w:rPr>
        <w:t xml:space="preserve">_B</w:t>
      </w:r>
      <w:r>
        <w:t xml:space="preserve"> </w:t>
      </w:r>
      <w:r>
        <w:t xml:space="preserve">description (Appendix): the suffixes denote</w:t>
      </w:r>
      <w:r>
        <w:t xml:space="preserve"> </w:t>
      </w:r>
      <w:r>
        <w:t xml:space="preserve">train/test</w:t>
      </w:r>
      <w:r>
        <w:t xml:space="preserve"> </w:t>
      </w:r>
      <w:r>
        <w:rPr>
          <w:iCs/>
          <w:i/>
        </w:rPr>
        <w:t xml:space="preserve">folds</w:t>
      </w:r>
      <w:r>
        <w:t xml:space="preserve">, not positive/negative labels;</w:t>
      </w:r>
      <w:r>
        <w:t xml:space="preserve"> </w:t>
      </w:r>
      <w:r>
        <w:rPr>
          <w:rStyle w:val="VerbatimChar"/>
        </w:rPr>
        <w:t xml:space="preserve">_AC</w:t>
      </w:r>
      <w:r>
        <w:t xml:space="preserve"> </w:t>
      </w:r>
      <w:r>
        <w:t xml:space="preserve">files are all-positive (with</w:t>
      </w:r>
      <w:r>
        <w:t xml:space="preserve"> </w:t>
      </w:r>
      <w:r>
        <w:t xml:space="preserve">negatives synthesized by dinucleotide shuffling during</w:t>
      </w:r>
      <w:r>
        <w:t xml:space="preserve"> </w:t>
      </w:r>
      <w:r>
        <w:rPr>
          <w:iCs/>
          <w:i/>
        </w:rPr>
        <w:t xml:space="preserve">training</w:t>
      </w:r>
      <w:r>
        <w:t xml:space="preserve"> </w:t>
      </w:r>
      <w:r>
        <w:t xml:space="preserve">only), and the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test files are the balanced curated sets used for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evaluation.</w:t>
      </w:r>
    </w:p>
    <w:p>
      <w:pPr>
        <w:pStyle w:val="FirstParagraph"/>
      </w:pPr>
      <w:r>
        <w:t xml:space="preserve">This clarifies that OOD performance measures genuine generalization to unseen</w:t>
      </w:r>
      <w:r>
        <w:t xml:space="preserve"> </w:t>
      </w:r>
      <w:r>
        <w:t xml:space="preserve">transcription factors with no train/test leakage.</w:t>
      </w:r>
    </w:p>
    <w:p>
      <w:r>
        <w:pict>
          <v:rect style="width:0;height:1.5pt" o:hralign="center" o:hrstd="t" o:hr="t"/>
        </w:pict>
      </w:r>
    </w:p>
    <w:bookmarkEnd w:id="24"/>
    <w:bookmarkStart w:id="25" w:name="X8778ee00302cb13daac4f9dc0fe70209277ee45"/>
    <w:p>
      <w:pPr>
        <w:pStyle w:val="Heading2"/>
      </w:pPr>
      <w:r>
        <w:t xml:space="preserve">Comment 6 — Reproducibility and implementation details</w:t>
      </w:r>
    </w:p>
    <w:p>
      <w:pPr>
        <w:pStyle w:val="BlockText"/>
      </w:pPr>
      <w:r>
        <w:rPr>
          <w:iCs/>
          <w:i/>
        </w:rPr>
        <w:t xml:space="preserve">The authors should clearly report dataset sizes, train-validation-test split ratios,</w:t>
      </w:r>
      <w:r>
        <w:rPr>
          <w:iCs/>
          <w:i/>
        </w:rPr>
        <w:t xml:space="preserve"> </w:t>
      </w:r>
      <w:r>
        <w:rPr>
          <w:iCs/>
          <w:i/>
        </w:rPr>
        <w:t xml:space="preserve">preprocessing procedures, sequence lengths, hyperparameter search ranges, random seed</w:t>
      </w:r>
      <w:r>
        <w:rPr>
          <w:iCs/>
          <w:i/>
        </w:rPr>
        <w:t xml:space="preserve"> </w:t>
      </w:r>
      <w:r>
        <w:rPr>
          <w:iCs/>
          <w:i/>
        </w:rPr>
        <w:t xml:space="preserve">settings, and implementation details.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Revised</w:t>
      </w:r>
      <w:r>
        <w:t xml:space="preserve"> </w:t>
      </w:r>
      <w:r>
        <w:rPr>
          <w:bCs/>
          <w:b/>
        </w:rPr>
        <w:t xml:space="preserve">Section 3 and Appendix A</w:t>
      </w:r>
      <w:r>
        <w:t xml:space="preserve"> </w:t>
      </w:r>
      <w:r>
        <w:t xml:space="preserve">now report all of the following, and</w:t>
      </w:r>
      <w:r>
        <w:t xml:space="preserve"> </w:t>
      </w:r>
      <w:r>
        <w:t xml:space="preserve">we fixed several reproducibility bugs in the released code: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Dataset sizes (positives in each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_AC</w:t>
      </w:r>
      <w:r>
        <w:rPr>
          <w:bCs/>
          <w:b/>
        </w:rPr>
        <w:t xml:space="preserve"> </w:t>
      </w:r>
      <w:r>
        <w:rPr>
          <w:bCs/>
          <w:b/>
        </w:rPr>
        <w:t xml:space="preserve">training file):</w:t>
      </w:r>
      <w:r>
        <w:t xml:space="preserve"> </w:t>
      </w:r>
      <w:r>
        <w:t xml:space="preserve">ARID3A 17,122; FOXM1</w:t>
      </w:r>
      <w:r>
        <w:t xml:space="preserve"> </w:t>
      </w:r>
      <w:r>
        <w:t xml:space="preserve">22,426; GATA3 15,379 (each doubled to a 1:1 positive:negative set by</w:t>
      </w:r>
      <w:r>
        <w:t xml:space="preserve"> </w:t>
      </w:r>
      <w:r>
        <w:t xml:space="preserve">dinucleotide-shuffle negatives during training). Each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test/OOD file is balanced</w:t>
      </w:r>
      <w:r>
        <w:t xml:space="preserve"> </w:t>
      </w:r>
      <w:r>
        <w:t xml:space="preserve">500 positive + 500 negative.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Sequence length / preprocessing:</w:t>
      </w:r>
      <w:r>
        <w:t xml:space="preserve"> </w:t>
      </w:r>
      <w:r>
        <w:t xml:space="preserve">sequences are</w:t>
      </w:r>
      <w:r>
        <w:t xml:space="preserve"> </w:t>
      </w:r>
      <w:r>
        <w:rPr>
          <w:bCs/>
          <w:b/>
        </w:rPr>
        <w:t xml:space="preserve">101 bp</w:t>
      </w:r>
      <w:r>
        <w:t xml:space="preserve"> </w:t>
      </w:r>
      <w:r>
        <w:t xml:space="preserve">(corrected from the</w:t>
      </w:r>
      <w:r>
        <w:t xml:space="preserve"> </w:t>
      </w:r>
      <w:r>
        <w:t xml:space="preserve">erroneous</w:t>
      </w:r>
      <w:r>
        <w:t xml:space="preserve"> </w:t>
      </w:r>
      <w:r>
        <w:t xml:space="preserve">“</w:t>
      </w:r>
      <w:r>
        <w:t xml:space="preserve">24 bp</w:t>
      </w:r>
      <w:r>
        <w:t xml:space="preserve">”</w:t>
      </w:r>
      <w:r>
        <w:t xml:space="preserve"> </w:t>
      </w:r>
      <w:r>
        <w:t xml:space="preserve">in the previous Appendix — 24 is the convolution kernel width</w:t>
      </w:r>
      <w:r>
        <w:t xml:space="preserve"> </w:t>
      </w:r>
      <w:r>
        <w:rPr>
          <w:rStyle w:val="VerbatimChar"/>
        </w:rPr>
        <w:t xml:space="preserve">motiflen</w:t>
      </w:r>
      <w:r>
        <w:t xml:space="preserve">, not a trim length), one-hot encoded over {A,C,G,T} and zero-padded by</w:t>
      </w:r>
      <w:r>
        <w:t xml:space="preserve"> </w:t>
      </w:r>
      <w:r>
        <w:rPr>
          <w:rStyle w:val="VerbatimChar"/>
        </w:rPr>
        <w:t xml:space="preserve">motiflen − 1 = 23</w:t>
      </w:r>
      <w:r>
        <w:t xml:space="preserve"> </w:t>
      </w:r>
      <w:r>
        <w:t xml:space="preserve">per side to a 4×147 input tensor.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Splits:</w:t>
      </w:r>
      <w:r>
        <w:t xml:space="preserve"> </w:t>
      </w:r>
      <w:r>
        <w:t xml:space="preserve">each training file is split 80/20 train/validation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sklearn.train_test_split</w:t>
      </w:r>
      <w:r>
        <w:t xml:space="preserve">, now with</w:t>
      </w:r>
      <w:r>
        <w:t xml:space="preserve"> </w:t>
      </w:r>
      <w:r>
        <w:rPr>
          <w:rStyle w:val="VerbatimChar"/>
        </w:rPr>
        <w:t xml:space="preserve">random_state=seed</w:t>
      </w:r>
      <w:r>
        <w:t xml:space="preserve">); the MoE uses an 80/20</w:t>
      </w:r>
      <w:r>
        <w:t xml:space="preserve"> </w:t>
      </w:r>
      <w:r>
        <w:t xml:space="preserve">split of the combined training data; the test sets are the held-out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files.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Hyperparameter search ranges (Optuna, 10 trials/expert, 10 epochs/trial,</w:t>
      </w:r>
      <w:r>
        <w:rPr>
          <w:bCs/>
          <w:b/>
        </w:rPr>
        <w:t xml:space="preserve"> </w:t>
      </w:r>
      <w:r>
        <w:rPr>
          <w:bCs/>
          <w:b/>
        </w:rPr>
        <w:t xml:space="preserve">maximizing validation AUC):</w:t>
      </w:r>
      <w:r>
        <w:t xml:space="preserve"> </w:t>
      </w:r>
      <w:r>
        <w:rPr>
          <w:rStyle w:val="VerbatimChar"/>
        </w:rPr>
        <w:t xml:space="preserve">poolType ∈ {max, maxavg}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neuType ∈ {hidden,   nohidden}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dropprob ∈ {0.5, 0.75, 1.0}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sigmaConv ∈ [1e-7, 1e-3]</w:t>
      </w:r>
      <w:r>
        <w:t xml:space="preserve"> </w:t>
      </w:r>
      <w:r>
        <w:t xml:space="preserve">(log),</w:t>
      </w:r>
      <w:r>
        <w:t xml:space="preserve"> </w:t>
      </w:r>
      <w:r>
        <w:rPr>
          <w:rStyle w:val="VerbatimChar"/>
        </w:rPr>
        <w:t xml:space="preserve">sigmaNeu ∈ [1e-5, 1e-2]</w:t>
      </w:r>
      <w:r>
        <w:t xml:space="preserve"> </w:t>
      </w:r>
      <w:r>
        <w:t xml:space="preserve">(log),</w:t>
      </w:r>
      <w:r>
        <w:t xml:space="preserve"> </w:t>
      </w:r>
      <w:r>
        <w:rPr>
          <w:rStyle w:val="VerbatimChar"/>
        </w:rPr>
        <w:t xml:space="preserve">learning_rate ∈ [5e-4, 5e-2]</w:t>
      </w:r>
      <w:r>
        <w:t xml:space="preserve"> </w:t>
      </w:r>
      <w:r>
        <w:t xml:space="preserve">(log),</w:t>
      </w:r>
      <w:r>
        <w:t xml:space="preserve"> </w:t>
      </w:r>
      <w:r>
        <w:rPr>
          <w:rStyle w:val="VerbatimChar"/>
        </w:rPr>
        <w:t xml:space="preserve">momentum_rate ∈ [0.95, 0.99]</w:t>
      </w:r>
      <w:r>
        <w:t xml:space="preserve">. The chosen per-expert hyperparameters are listed in</w:t>
      </w:r>
      <w:r>
        <w:t xml:space="preserve"> </w:t>
      </w:r>
      <w:r>
        <w:t xml:space="preserve">the revised Appendix.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Training:</w:t>
      </w:r>
      <w:r>
        <w:t xml:space="preserve"> </w:t>
      </w:r>
      <w:r>
        <w:t xml:space="preserve">experts use SGD with Nesterov momentum, BCE-with-logits, max 500</w:t>
      </w:r>
      <w:r>
        <w:t xml:space="preserve"> </w:t>
      </w:r>
      <w:r>
        <w:t xml:space="preserve">epochs, early-stopping patience 5; the MoE uses</w:t>
      </w:r>
      <w:r>
        <w:t xml:space="preserve"> </w:t>
      </w:r>
      <w:r>
        <w:rPr>
          <w:bCs/>
          <w:b/>
        </w:rPr>
        <w:t xml:space="preserve">mini-batch</w:t>
      </w:r>
      <w:r>
        <w:t xml:space="preserve"> </w:t>
      </w:r>
      <w:r>
        <w:t xml:space="preserve">SGD with Nesterov</w:t>
      </w:r>
      <w:r>
        <w:t xml:space="preserve"> </w:t>
      </w:r>
      <w:r>
        <w:t xml:space="preserve">momentum (lr 0.01, momentum 0.98), patience 10, with experts frozen. (We corrected</w:t>
      </w:r>
      <w:r>
        <w:t xml:space="preserve"> </w:t>
      </w:r>
      <w:r>
        <w:t xml:space="preserve">the earlier full-batch update and the validation-set bug in early stopping.)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Random seeds: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flag now seeds Python, NumPy, PyTorch, and CUDA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cudnn.deterministic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random_state=seed</w:t>
      </w:r>
      <w:r>
        <w:t xml:space="preserve">;</w:t>
      </w:r>
      <w:r>
        <w:t xml:space="preserve"> </w:t>
      </w:r>
      <w:r>
        <w:t xml:space="preserve">evaluation uses deterministic per-trial seeds.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PyTorch 2.8 / CUDA, NVIDIA RTX 3090 (24 GB); ROC/AUC via</w:t>
      </w:r>
      <w:r>
        <w:t xml:space="preserve"> </w:t>
      </w:r>
      <w:r>
        <w:t xml:space="preserve">scikit-learn.</w:t>
      </w:r>
    </w:p>
    <w:p>
      <w:pPr>
        <w:pStyle w:val="BlockText"/>
      </w:pPr>
      <w:r>
        <w:rPr>
          <w:bCs/>
          <w:b/>
        </w:rPr>
        <w:t xml:space="preserve">ACTION NEEDED (checkpoint provenance).</w:t>
      </w:r>
      <w:r>
        <w:t xml:space="preserve"> </w:t>
      </w:r>
      <w:r>
        <w:t xml:space="preserve">The released GATA3 expert/MoE checkpoints</w:t>
      </w:r>
      <w:r>
        <w:t xml:space="preserve"> </w:t>
      </w:r>
      <w:r>
        <w:t xml:space="preserve">did not reproduce the originally published GATA3/MoE numbers; we retrained all models</w:t>
      </w:r>
      <w:r>
        <w:t xml:space="preserve"> </w:t>
      </w:r>
      <w:r>
        <w:t xml:space="preserve">with a fixed seed and the originals are archived under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. Please confirm we</w:t>
      </w:r>
      <w:r>
        <w:t xml:space="preserve"> </w:t>
      </w:r>
      <w:r>
        <w:t xml:space="preserve">should report the regenerated (reproducible) numbers as canonical — the manuscript</w:t>
      </w:r>
      <w:r>
        <w:t xml:space="preserve"> </w:t>
      </w:r>
      <w:r>
        <w:t xml:space="preserve">tables/figures have been updated accordingly.</w:t>
      </w:r>
    </w:p>
    <w:p>
      <w:r>
        <w:pict>
          <v:rect style="width:0;height:1.5pt" o:hralign="center" o:hrstd="t" o:hr="t"/>
        </w:pict>
      </w:r>
    </w:p>
    <w:bookmarkEnd w:id="25"/>
    <w:bookmarkStart w:id="26" w:name="Xf2356ca3ee24755f30060e191f2beb2ceb0b6c0"/>
    <w:p>
      <w:pPr>
        <w:pStyle w:val="Heading2"/>
      </w:pPr>
      <w:r>
        <w:t xml:space="preserve">Comment 7 — Ablation studies (embedding size, frozen experts, number of experts)</w:t>
      </w:r>
    </w:p>
    <w:p>
      <w:pPr>
        <w:pStyle w:val="BlockText"/>
      </w:pPr>
      <w:r>
        <w:rPr>
          <w:iCs/>
          <w:i/>
        </w:rPr>
        <w:t xml:space="preserve">Additional ablation studies are needed to justify architectural choices such as the</w:t>
      </w:r>
      <w:r>
        <w:rPr>
          <w:iCs/>
          <w:i/>
        </w:rPr>
        <w:t xml:space="preserve"> </w:t>
      </w:r>
      <w:r>
        <w:rPr>
          <w:iCs/>
          <w:i/>
        </w:rPr>
        <w:t xml:space="preserve">32-dimensional embedding size, frozen expert weights, and the number of experts used</w:t>
      </w:r>
      <w:r>
        <w:rPr>
          <w:iCs/>
          <w:i/>
        </w:rPr>
        <w:t xml:space="preserve"> </w:t>
      </w:r>
      <w:r>
        <w:rPr>
          <w:iCs/>
          <w:i/>
        </w:rPr>
        <w:t xml:space="preserve">in the MoE framework.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added three ablation studies (</w:t>
      </w:r>
      <w:r>
        <w:rPr>
          <w:rStyle w:val="VerbatimChar"/>
        </w:rPr>
        <w:t xml:space="preserve">ablation.py</w:t>
      </w:r>
      <w:r>
        <w:t xml:space="preserve">), each trained from</w:t>
      </w:r>
      <w:r>
        <w:t xml:space="preserve"> </w:t>
      </w:r>
      <w:r>
        <w:t xml:space="preserve">scratch with a fixed seed and evaluated with the rigorous bootstrap protocol on both</w:t>
      </w:r>
      <w:r>
        <w:t xml:space="preserve"> </w:t>
      </w:r>
      <w:r>
        <w:t xml:space="preserve">in-distribution and OOD data. New results are reported in a new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Ablation Studies</w:t>
      </w:r>
      <w:r>
        <w:rPr>
          <w:bCs/>
          <w:b/>
        </w:rPr>
        <w:t xml:space="preserve">”</w:t>
      </w:r>
      <w:r>
        <w:t xml:space="preserve"> </w:t>
      </w:r>
      <w:r>
        <w:t xml:space="preserve">subsection of Section 4.</w:t>
      </w:r>
    </w:p>
    <w:p>
      <w:pPr>
        <w:pStyle w:val="BodyText"/>
      </w:pPr>
      <w:r>
        <w:rPr>
          <w:bCs/>
          <w:b/>
        </w:rPr>
        <w:t xml:space="preserve">(7a) Embedding size E ∈ {16, 32, 64, 128}.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In-dist mean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 mean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0.6626</w:t>
            </w:r>
          </w:p>
        </w:tc>
      </w:tr>
    </w:tbl>
    <w:p>
      <w:pPr>
        <w:pStyle w:val="BodyText"/>
      </w:pPr>
      <w:r>
        <w:rPr>
          <w:bCs/>
          <w:b/>
        </w:rPr>
        <w:t xml:space="preserve">(7b) Frozen vs. fine-tuned experts.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train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11,047</w:t>
            </w:r>
          </w:p>
        </w:tc>
      </w:tr>
    </w:tbl>
    <w:p>
      <w:pPr>
        <w:pStyle w:val="BodyText"/>
      </w:pPr>
      <w:r>
        <w:rPr>
          <w:bCs/>
          <w:b/>
        </w:rPr>
        <w:t xml:space="preserve">(7c) Number of experts N_e ∈ {1, 2, 3}.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N_e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 mean AUC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 mean AUC (best subset)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0.6412</w:t>
            </w:r>
          </w:p>
        </w:tc>
      </w:tr>
    </w:tbl>
    <w:p>
      <w:pPr>
        <w:pStyle w:val="BodyText"/>
      </w:pPr>
      <w:r>
        <w:t xml:space="preserve">These quantify the contribution of each architectural choice and justify E = 32, the</w:t>
      </w:r>
      <w:r>
        <w:t xml:space="preserve"> </w:t>
      </w:r>
      <w:r>
        <w:t xml:space="preserve">frozen-expert design (training-cost savings), and the use of all three experts.</w:t>
      </w:r>
    </w:p>
    <w:p>
      <w:r>
        <w:pict>
          <v:rect style="width:0;height:1.5pt" o:hralign="center" o:hrstd="t" o:hr="t"/>
        </w:pict>
      </w:r>
    </w:p>
    <w:bookmarkEnd w:id="26"/>
    <w:bookmarkStart w:id="27" w:name="X52d391f5b9eb0bdfed13bf3c1794a3cb1a5146e"/>
    <w:p>
      <w:pPr>
        <w:pStyle w:val="Heading2"/>
      </w:pPr>
      <w:r>
        <w:t xml:space="preserve">Comment 8 — Figure readability and resolution (Figures 1, 5, 8)</w:t>
      </w:r>
    </w:p>
    <w:p>
      <w:pPr>
        <w:pStyle w:val="BlockText"/>
      </w:pPr>
      <w:r>
        <w:rPr>
          <w:iCs/>
          <w:i/>
        </w:rPr>
        <w:t xml:space="preserve">Several figures require improvement in readability and resolution. In particular,</w:t>
      </w:r>
      <w:r>
        <w:rPr>
          <w:iCs/>
          <w:i/>
        </w:rPr>
        <w:t xml:space="preserve"> </w:t>
      </w:r>
      <w:r>
        <w:rPr>
          <w:iCs/>
          <w:i/>
        </w:rPr>
        <w:t xml:space="preserve">Figures 1, 5, and 8 appear crowded and difficult to interpret clearly.</w:t>
      </w:r>
    </w:p>
    <w:p>
      <w:pPr>
        <w:pStyle w:val="FirstParagraph"/>
      </w:pPr>
      <w:r>
        <w:rPr>
          <w:bCs/>
          <w:b/>
        </w:rPr>
        <w:t xml:space="preserve">Response.</w:t>
      </w:r>
      <w:r>
        <w:t xml:space="preserve"> </w:t>
      </w:r>
      <w:r>
        <w:t xml:space="preserve">We note that, in the manuscript’s numbering, the ANOVA confidence-interval</w:t>
      </w:r>
      <w:r>
        <w:t xml:space="preserve"> </w:t>
      </w:r>
      <w:r>
        <w:t xml:space="preserve">figures are Figures 4 and 7, while Figures 1, 5, and 8 are the visual abstract, the</w:t>
      </w:r>
      <w:r>
        <w:t xml:space="preserve"> </w:t>
      </w:r>
      <w:r>
        <w:t xml:space="preserve">six-panel OOD ROC figure, and the ShiftSmooth illustration. We have regenerated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data-driven figures (</w:t>
      </w:r>
      <w:r>
        <w:rPr>
          <w:rStyle w:val="VerbatimChar"/>
        </w:rPr>
        <w:t xml:space="preserve">make_figures.py</w:t>
      </w:r>
      <w:r>
        <w:t xml:space="preserve">) at ≥300 dpi (PNG) plus vector PDF, with a</w:t>
      </w:r>
      <w:r>
        <w:t xml:space="preserve"> </w:t>
      </w:r>
      <w:r>
        <w:t xml:space="preserve">colorblind-safe (Okabe–Ito) palette, larger fonts, wider spacing, and</w:t>
      </w:r>
      <w:r>
        <w:t xml:space="preserve"> </w:t>
      </w:r>
      <w:r>
        <w:rPr>
          <w:bCs/>
          <w:b/>
        </w:rPr>
        <w:t xml:space="preserve">direct numeric</w:t>
      </w:r>
      <w:r>
        <w:rPr>
          <w:bCs/>
          <w:b/>
        </w:rPr>
        <w:t xml:space="preserve"> </w:t>
      </w:r>
      <w:r>
        <w:rPr>
          <w:bCs/>
          <w:b/>
        </w:rPr>
        <w:t xml:space="preserve">labels on the (thin) confidence intervals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Figures 4 &amp; 7</w:t>
      </w:r>
      <w:r>
        <w:t xml:space="preserve"> </w:t>
      </w:r>
      <w:r>
        <w:t xml:space="preserve">— ANOVA 95 % CI</w:t>
      </w:r>
      <w:r>
        <w:t xml:space="preserve"> </w:t>
      </w:r>
      <w:r>
        <w:t xml:space="preserve">“</w:t>
      </w:r>
      <w:r>
        <w:t xml:space="preserve">box</w:t>
      </w:r>
      <w:r>
        <w:t xml:space="preserve">”</w:t>
      </w:r>
      <w:r>
        <w:t xml:space="preserve"> </w:t>
      </w:r>
      <w:r>
        <w:t xml:space="preserve">figures (in-distribution / OOD).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Figures 3 &amp; 6</w:t>
      </w:r>
      <w:r>
        <w:t xml:space="preserve"> </w:t>
      </w:r>
      <w:r>
        <w:t xml:space="preserve">— grouped AUC bar charts with CI error bars and value labels.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Figure 5</w:t>
      </w:r>
      <w:r>
        <w:t xml:space="preserve"> </w:t>
      </w:r>
      <w:r>
        <w:t xml:space="preserve">— the OOD ROC panel, decluttered into a 2×3 grid (one TF per subplot,</w:t>
      </w:r>
      <w:r>
        <w:t xml:space="preserve"> </w:t>
      </w:r>
      <w:r>
        <w:t xml:space="preserve">AUC in the legend, MoE dashed).</w:t>
      </w:r>
    </w:p>
    <w:p>
      <w:pPr>
        <w:pStyle w:val="FirstParagraph"/>
      </w:pPr>
      <w:r>
        <w:t xml:space="preserve">For the two hand-made figures whose editable source files are not in the repository —</w:t>
      </w:r>
      <w:r>
        <w:t xml:space="preserve"> </w:t>
      </w:r>
      <w:r>
        <w:rPr>
          <w:bCs/>
          <w:b/>
        </w:rPr>
        <w:t xml:space="preserve">Figure 1</w:t>
      </w:r>
      <w:r>
        <w:t xml:space="preserve"> </w:t>
      </w:r>
      <w:r>
        <w:t xml:space="preserve">(visual abstract) and</w:t>
      </w:r>
      <w:r>
        <w:t xml:space="preserve"> </w:t>
      </w:r>
      <w:r>
        <w:rPr>
          <w:bCs/>
          <w:b/>
        </w:rPr>
        <w:t xml:space="preserve">Figure 8</w:t>
      </w:r>
      <w:r>
        <w:t xml:space="preserve"> </w:t>
      </w:r>
      <w:r>
        <w:t xml:space="preserve">(ShiftSmooth illustration) — we provide</w:t>
      </w:r>
      <w:r>
        <w:t xml:space="preserve"> </w:t>
      </w:r>
      <w:r>
        <w:t xml:space="preserve">decluttered redesign</w:t>
      </w:r>
      <w:r>
        <w:t xml:space="preserve"> </w:t>
      </w:r>
      <w:r>
        <w:rPr>
          <w:bCs/>
          <w:b/>
        </w:rPr>
        <w:t xml:space="preserve">mockups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fig1_visual_abstract_mockup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fig8_shiftsmooth_mockup</w:t>
      </w:r>
      <w:r>
        <w:t xml:space="preserve">) and written guidance (</w:t>
      </w:r>
      <w:r>
        <w:rPr>
          <w:rStyle w:val="VerbatimChar"/>
        </w:rPr>
        <w:t xml:space="preserve">results/figures/FIGURE_GUIDANCE.md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ACTION NEEDED.</w:t>
      </w:r>
      <w:r>
        <w:t xml:space="preserve"> </w:t>
      </w:r>
      <w:r>
        <w:t xml:space="preserve">Please drop the editable sources of the visual abstract and the</w:t>
      </w:r>
      <w:r>
        <w:t xml:space="preserve"> </w:t>
      </w:r>
      <w:r>
        <w:t xml:space="preserve">ShiftSmooth illustration into</w:t>
      </w:r>
      <w:r>
        <w:t xml:space="preserve"> </w:t>
      </w:r>
      <w:r>
        <w:rPr>
          <w:rStyle w:val="VerbatimChar"/>
        </w:rPr>
        <w:t xml:space="preserve">paper/figures/</w:t>
      </w:r>
      <w:r>
        <w:t xml:space="preserve"> </w:t>
      </w:r>
      <w:r>
        <w:t xml:space="preserve">so we can produce final</w:t>
      </w:r>
      <w:r>
        <w:t xml:space="preserve"> </w:t>
      </w:r>
      <w:r>
        <w:t xml:space="preserve">production-quality versions of Figures 1 and 8 (we currently provide mockups).</w:t>
      </w:r>
    </w:p>
    <w:p>
      <w:r>
        <w:pict>
          <v:rect style="width:0;height:1.5pt" o:hralign="center" o:hrstd="t" o:hr="t"/>
        </w:pict>
      </w:r>
    </w:p>
    <w:bookmarkEnd w:id="27"/>
    <w:bookmarkStart w:id="28" w:name="summary-of-new-artifacts"/>
    <w:p>
      <w:pPr>
        <w:pStyle w:val="Heading2"/>
      </w:pPr>
      <w:r>
        <w:t xml:space="preserve">Summary of new artifacts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results/stats/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ANOVA, η²/ω², paired-bootstrap post-hoc (Comment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results/baselines/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DeepSEA, DanQ, DNABERT comparison (Comment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ablation.py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results/ablation/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size, frozen vs fine-tuned, #experts (Comment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make_figures.py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regenerated Figures 1,3–8 (Comment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evaluate.py --protocol rigorous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pipeline (Comment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paper/edited.tex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with all revisions marked in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original checkpoints/results for reference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2026-06-24T23:15:31Z</dcterms:created>
  <dcterms:modified xsi:type="dcterms:W3CDTF">2026-06-24T23:15:31Z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