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4C77" w14:textId="72B16506" w:rsidR="009A17D3" w:rsidRDefault="009A17D3" w:rsidP="00EC52ED">
      <w:pPr>
        <w:pStyle w:val="Heading2"/>
      </w:pPr>
      <w:r>
        <w:t>Strategic Advisory: ICS/OT Segmentation Build vs. Buy Decision</w:t>
      </w:r>
    </w:p>
    <w:p w14:paraId="2EF35669" w14:textId="711C53DC" w:rsidR="009A17D3" w:rsidRDefault="009A17D3" w:rsidP="00EC52ED">
      <w:pPr>
        <w:pStyle w:val="Heading3"/>
      </w:pPr>
      <w:r>
        <w:t>Executive Summary</w:t>
      </w:r>
    </w:p>
    <w:p w14:paraId="5C87C706" w14:textId="1AEF88D7" w:rsidR="009A17D3" w:rsidRDefault="009A17D3" w:rsidP="009A17D3">
      <w:r>
        <w:t xml:space="preserve">The transition from traditional on-premises firewalls to cloud-based virtual firewalls for north/south traffic creates a critical opportunity to reimagine east/west traffic security in </w:t>
      </w:r>
      <w:proofErr w:type="spellStart"/>
      <w:r w:rsidR="000B2F00">
        <w:t>WWOps</w:t>
      </w:r>
      <w:proofErr w:type="spellEnd"/>
      <w:r>
        <w:t xml:space="preserve"> ICS/OT environment. Based on </w:t>
      </w:r>
      <w:r w:rsidR="000B2F00">
        <w:t>CLS’</w:t>
      </w:r>
      <w:r>
        <w:t xml:space="preserve"> analysis, </w:t>
      </w:r>
      <w:r w:rsidRPr="000B2F00">
        <w:rPr>
          <w:b/>
          <w:bCs/>
        </w:rPr>
        <w:t>an iterative build approach using lightweight Linux-based segmentation</w:t>
      </w:r>
      <w:r>
        <w:t xml:space="preserve"> aligns optimally with </w:t>
      </w:r>
      <w:r w:rsidR="000B2F00">
        <w:t>Amazon</w:t>
      </w:r>
      <w:r>
        <w:t>'s innovation culture while addressing core security requirements. This approach offers:</w:t>
      </w:r>
    </w:p>
    <w:p w14:paraId="5A348C68" w14:textId="0BABB745" w:rsidR="009A17D3" w:rsidRPr="00EC52ED" w:rsidRDefault="009A17D3" w:rsidP="00EC52ED">
      <w:pPr>
        <w:pStyle w:val="ListParagraph"/>
        <w:numPr>
          <w:ilvl w:val="0"/>
          <w:numId w:val="19"/>
        </w:numPr>
      </w:pPr>
      <w:r w:rsidRPr="00EC52ED">
        <w:rPr>
          <w:b/>
          <w:bCs/>
        </w:rPr>
        <w:t>Dramatically lower capital expenditure</w:t>
      </w:r>
      <w:r w:rsidRPr="00EC52ED">
        <w:t xml:space="preserve"> with baseline models at $200-$300 per unit and advanced models at $1,500 per unit, resulting in potential savings of $25-45 million across 15,000 units</w:t>
      </w:r>
    </w:p>
    <w:p w14:paraId="2CFB4C4C" w14:textId="582E1BDE" w:rsidR="009A17D3" w:rsidRPr="00EC52ED" w:rsidRDefault="009A17D3" w:rsidP="00EC52ED">
      <w:pPr>
        <w:pStyle w:val="ListParagraph"/>
        <w:numPr>
          <w:ilvl w:val="0"/>
          <w:numId w:val="19"/>
        </w:numPr>
      </w:pPr>
      <w:r w:rsidRPr="00EC52ED">
        <w:rPr>
          <w:b/>
          <w:bCs/>
        </w:rPr>
        <w:t>Faster deployment</w:t>
      </w:r>
      <w:r w:rsidRPr="00EC52ED">
        <w:t xml:space="preserve"> of essential security controls with significantly lower initial investment</w:t>
      </w:r>
    </w:p>
    <w:p w14:paraId="3FAAC345" w14:textId="65BCAC97" w:rsidR="009A17D3" w:rsidRPr="00EC52ED" w:rsidRDefault="009A17D3" w:rsidP="00EC52ED">
      <w:pPr>
        <w:pStyle w:val="ListParagraph"/>
        <w:numPr>
          <w:ilvl w:val="0"/>
          <w:numId w:val="19"/>
        </w:numPr>
      </w:pPr>
      <w:r w:rsidRPr="00EC52ED">
        <w:rPr>
          <w:b/>
          <w:bCs/>
        </w:rPr>
        <w:t>Tailored protection</w:t>
      </w:r>
      <w:r w:rsidRPr="00EC52ED">
        <w:t xml:space="preserve"> specific to </w:t>
      </w:r>
      <w:proofErr w:type="spellStart"/>
      <w:r w:rsidR="000B2F00" w:rsidRPr="00EC52ED">
        <w:t>WWOps</w:t>
      </w:r>
      <w:proofErr w:type="spellEnd"/>
      <w:r w:rsidRPr="00EC52ED">
        <w:t xml:space="preserve"> ICS/OT environment without extraneous features</w:t>
      </w:r>
    </w:p>
    <w:p w14:paraId="151208BC" w14:textId="13E471DE" w:rsidR="009A17D3" w:rsidRPr="00EC52ED" w:rsidRDefault="009A17D3" w:rsidP="00EC52ED">
      <w:pPr>
        <w:pStyle w:val="ListParagraph"/>
        <w:numPr>
          <w:ilvl w:val="0"/>
          <w:numId w:val="19"/>
        </w:numPr>
      </w:pPr>
      <w:r w:rsidRPr="00EC52ED">
        <w:rPr>
          <w:b/>
          <w:bCs/>
        </w:rPr>
        <w:t>Cultural alignment</w:t>
      </w:r>
      <w:r w:rsidRPr="00EC52ED">
        <w:t xml:space="preserve"> with </w:t>
      </w:r>
      <w:r w:rsidR="000B2F00" w:rsidRPr="00EC52ED">
        <w:t>Amazon</w:t>
      </w:r>
      <w:r w:rsidRPr="00EC52ED">
        <w:t>'s history of innovation and disruption</w:t>
      </w:r>
    </w:p>
    <w:p w14:paraId="6FE5BF87" w14:textId="3996C36A" w:rsidR="009A17D3" w:rsidRPr="00EC52ED" w:rsidRDefault="009A17D3" w:rsidP="00EC52ED">
      <w:pPr>
        <w:pStyle w:val="ListParagraph"/>
        <w:numPr>
          <w:ilvl w:val="0"/>
          <w:numId w:val="19"/>
        </w:numPr>
      </w:pPr>
      <w:r w:rsidRPr="00EC52ED">
        <w:rPr>
          <w:b/>
          <w:bCs/>
        </w:rPr>
        <w:t>Evolutionary adaptability</w:t>
      </w:r>
      <w:r w:rsidRPr="00EC52ED">
        <w:t xml:space="preserve"> to incorporate new requirements as they emerge</w:t>
      </w:r>
    </w:p>
    <w:p w14:paraId="5BF196D3" w14:textId="441B8C0B" w:rsidR="009A17D3" w:rsidRPr="00EC52ED" w:rsidRDefault="009A17D3" w:rsidP="00EC52ED">
      <w:pPr>
        <w:pStyle w:val="ListParagraph"/>
        <w:numPr>
          <w:ilvl w:val="0"/>
          <w:numId w:val="19"/>
        </w:numPr>
      </w:pPr>
      <w:r w:rsidRPr="00EC52ED">
        <w:rPr>
          <w:b/>
          <w:bCs/>
        </w:rPr>
        <w:t>No recurring annual licensing costs</w:t>
      </w:r>
      <w:r w:rsidRPr="00EC52ED">
        <w:t xml:space="preserve"> that would create budgetary uncertainty</w:t>
      </w:r>
    </w:p>
    <w:p w14:paraId="0F245C2B" w14:textId="3CBF5987" w:rsidR="009A17D3" w:rsidRDefault="000B2F00" w:rsidP="009A17D3">
      <w:r>
        <w:t>CLS</w:t>
      </w:r>
      <w:r w:rsidR="009A17D3">
        <w:t xml:space="preserve"> recommend</w:t>
      </w:r>
      <w:r>
        <w:t>s</w:t>
      </w:r>
      <w:r w:rsidR="009A17D3">
        <w:t xml:space="preserve"> a phased implementation starting with a minimum viable secure solution focused on </w:t>
      </w:r>
      <w:r>
        <w:t>traffic</w:t>
      </w:r>
      <w:r w:rsidR="009A17D3">
        <w:t xml:space="preserve"> filtering, </w:t>
      </w:r>
      <w:r>
        <w:t>address translation</w:t>
      </w:r>
      <w:r w:rsidR="009A17D3">
        <w:t xml:space="preserve">, </w:t>
      </w:r>
      <w:r>
        <w:t xml:space="preserve">state tracking, service management (DNS/NTP redirection), FQDN based traffic filtering, High Availability through rapid recovery, traffic flow metrics, </w:t>
      </w:r>
      <w:r w:rsidR="009A17D3">
        <w:t xml:space="preserve">and logging. </w:t>
      </w:r>
      <w:r>
        <w:t xml:space="preserve">This feature set, minus FQDN based filtering, aligns to the incumbent services available in the current common firewalls. </w:t>
      </w:r>
      <w:proofErr w:type="spellStart"/>
      <w:r w:rsidR="009A17D3">
        <w:t>This</w:t>
      </w:r>
      <w:proofErr w:type="spellEnd"/>
      <w:r w:rsidR="009A17D3">
        <w:t xml:space="preserve"> foundation can be iteratively enhanced based on measured requirements rather than speculative needs. To ensure team alignment, we propose a collaborative lab environment where both approaches can be tested against real-world scenarios using a clear evaluation framework.</w:t>
      </w:r>
    </w:p>
    <w:p w14:paraId="266E8F9A" w14:textId="15AAE831" w:rsidR="009A17D3" w:rsidRDefault="009A17D3" w:rsidP="00EC52ED">
      <w:pPr>
        <w:pStyle w:val="Heading3"/>
      </w:pPr>
      <w:r>
        <w:t>Build vs. Buy Analysis for ICS/OT Environments</w:t>
      </w:r>
    </w:p>
    <w:p w14:paraId="48B3689C" w14:textId="4C079356" w:rsidR="009A17D3" w:rsidRDefault="009A17D3" w:rsidP="00EC52ED">
      <w:pPr>
        <w:pStyle w:val="Heading4"/>
      </w:pPr>
      <w:r>
        <w:t xml:space="preserve">Technical </w:t>
      </w:r>
      <w:r w:rsidRPr="009A17D3">
        <w:t>Considerations</w:t>
      </w:r>
    </w:p>
    <w:tbl>
      <w:tblPr>
        <w:tblStyle w:val="TableGrid"/>
        <w:tblW w:w="0" w:type="auto"/>
        <w:tblLook w:val="04A0" w:firstRow="1" w:lastRow="0" w:firstColumn="1" w:lastColumn="0" w:noHBand="0" w:noVBand="1"/>
      </w:tblPr>
      <w:tblGrid>
        <w:gridCol w:w="1615"/>
        <w:gridCol w:w="3780"/>
        <w:gridCol w:w="3955"/>
      </w:tblGrid>
      <w:tr w:rsidR="000B2F00" w14:paraId="51EEF555" w14:textId="77777777" w:rsidTr="00EC52ED">
        <w:tc>
          <w:tcPr>
            <w:tcW w:w="1615" w:type="dxa"/>
          </w:tcPr>
          <w:p w14:paraId="27238AAA" w14:textId="6B899860" w:rsidR="000B2F00" w:rsidRPr="00EC52ED" w:rsidRDefault="000B2F00" w:rsidP="000B2F00">
            <w:pPr>
              <w:rPr>
                <w:b/>
                <w:bCs/>
                <w:sz w:val="20"/>
                <w:szCs w:val="20"/>
              </w:rPr>
            </w:pPr>
            <w:r w:rsidRPr="00EC52ED">
              <w:rPr>
                <w:b/>
                <w:bCs/>
                <w:sz w:val="20"/>
                <w:szCs w:val="20"/>
              </w:rPr>
              <w:t>Factor</w:t>
            </w:r>
          </w:p>
        </w:tc>
        <w:tc>
          <w:tcPr>
            <w:tcW w:w="3780" w:type="dxa"/>
          </w:tcPr>
          <w:p w14:paraId="198B5E12" w14:textId="43E5DE41" w:rsidR="000B2F00" w:rsidRPr="00EC52ED" w:rsidRDefault="000B2F00" w:rsidP="000B2F00">
            <w:pPr>
              <w:rPr>
                <w:b/>
                <w:bCs/>
                <w:sz w:val="20"/>
                <w:szCs w:val="20"/>
              </w:rPr>
            </w:pPr>
            <w:r w:rsidRPr="00EC52ED">
              <w:rPr>
                <w:b/>
                <w:bCs/>
                <w:sz w:val="20"/>
                <w:szCs w:val="20"/>
              </w:rPr>
              <w:t>Custom Build Approach</w:t>
            </w:r>
          </w:p>
        </w:tc>
        <w:tc>
          <w:tcPr>
            <w:tcW w:w="3955" w:type="dxa"/>
          </w:tcPr>
          <w:p w14:paraId="12A4A8DE" w14:textId="24B09EE5" w:rsidR="000B2F00" w:rsidRPr="00EC52ED" w:rsidRDefault="000B2F00" w:rsidP="000B2F00">
            <w:pPr>
              <w:rPr>
                <w:b/>
                <w:bCs/>
                <w:sz w:val="20"/>
                <w:szCs w:val="20"/>
              </w:rPr>
            </w:pPr>
            <w:r w:rsidRPr="00EC52ED">
              <w:rPr>
                <w:b/>
                <w:bCs/>
                <w:sz w:val="20"/>
                <w:szCs w:val="20"/>
              </w:rPr>
              <w:t>Commercial Industrial Firewalls</w:t>
            </w:r>
          </w:p>
        </w:tc>
      </w:tr>
      <w:tr w:rsidR="000B2F00" w14:paraId="070723B1" w14:textId="77777777" w:rsidTr="00EC52ED">
        <w:tc>
          <w:tcPr>
            <w:tcW w:w="1615" w:type="dxa"/>
          </w:tcPr>
          <w:p w14:paraId="5746AFEB" w14:textId="36903F83" w:rsidR="000B2F00" w:rsidRPr="00EC52ED" w:rsidRDefault="000B2F00" w:rsidP="000B2F00">
            <w:pPr>
              <w:rPr>
                <w:b/>
                <w:bCs/>
                <w:sz w:val="20"/>
                <w:szCs w:val="20"/>
              </w:rPr>
            </w:pPr>
            <w:r w:rsidRPr="00EC52ED">
              <w:rPr>
                <w:b/>
                <w:bCs/>
                <w:sz w:val="20"/>
                <w:szCs w:val="20"/>
              </w:rPr>
              <w:t>Protocol Support</w:t>
            </w:r>
          </w:p>
        </w:tc>
        <w:tc>
          <w:tcPr>
            <w:tcW w:w="3780" w:type="dxa"/>
          </w:tcPr>
          <w:p w14:paraId="4DD7B5BE" w14:textId="00F910D7" w:rsidR="000B2F00" w:rsidRPr="00EC52ED" w:rsidRDefault="000B2F00" w:rsidP="000B2F00">
            <w:pPr>
              <w:rPr>
                <w:sz w:val="20"/>
                <w:szCs w:val="20"/>
              </w:rPr>
            </w:pPr>
            <w:r w:rsidRPr="00EC52ED">
              <w:rPr>
                <w:sz w:val="20"/>
                <w:szCs w:val="20"/>
              </w:rPr>
              <w:t>Initially limited to essential ICS protocols (Modbus, DNP3, etc.) with capability to add others as needed</w:t>
            </w:r>
          </w:p>
        </w:tc>
        <w:tc>
          <w:tcPr>
            <w:tcW w:w="3955" w:type="dxa"/>
          </w:tcPr>
          <w:p w14:paraId="67641F06" w14:textId="737E0691" w:rsidR="000B2F00" w:rsidRPr="00EC52ED" w:rsidRDefault="000B2F00" w:rsidP="000B2F00">
            <w:pPr>
              <w:rPr>
                <w:sz w:val="20"/>
                <w:szCs w:val="20"/>
              </w:rPr>
            </w:pPr>
            <w:r w:rsidRPr="00EC52ED">
              <w:rPr>
                <w:sz w:val="20"/>
                <w:szCs w:val="20"/>
              </w:rPr>
              <w:t>Comprehensive pre-built support for numerous protocols, many likely unused</w:t>
            </w:r>
          </w:p>
        </w:tc>
      </w:tr>
      <w:tr w:rsidR="000B2F00" w14:paraId="545395A9" w14:textId="77777777" w:rsidTr="00EC52ED">
        <w:tc>
          <w:tcPr>
            <w:tcW w:w="1615" w:type="dxa"/>
          </w:tcPr>
          <w:p w14:paraId="37F0F01A" w14:textId="255AE261" w:rsidR="000B2F00" w:rsidRPr="00EC52ED" w:rsidRDefault="000B2F00" w:rsidP="000B2F00">
            <w:pPr>
              <w:rPr>
                <w:b/>
                <w:bCs/>
                <w:sz w:val="20"/>
                <w:szCs w:val="20"/>
              </w:rPr>
            </w:pPr>
            <w:r w:rsidRPr="00EC52ED">
              <w:rPr>
                <w:b/>
                <w:bCs/>
                <w:sz w:val="20"/>
                <w:szCs w:val="20"/>
              </w:rPr>
              <w:t>Deployment Timeline</w:t>
            </w:r>
          </w:p>
        </w:tc>
        <w:tc>
          <w:tcPr>
            <w:tcW w:w="3780" w:type="dxa"/>
          </w:tcPr>
          <w:p w14:paraId="3137F521" w14:textId="75746A1D" w:rsidR="000B2F00" w:rsidRPr="00EC52ED" w:rsidRDefault="000B2F00" w:rsidP="000B2F00">
            <w:pPr>
              <w:rPr>
                <w:sz w:val="20"/>
                <w:szCs w:val="20"/>
              </w:rPr>
            </w:pPr>
            <w:r w:rsidRPr="00EC52ED">
              <w:rPr>
                <w:sz w:val="20"/>
                <w:szCs w:val="20"/>
              </w:rPr>
              <w:t>Faster initial deployment (8-12 weeks for MVP)</w:t>
            </w:r>
          </w:p>
        </w:tc>
        <w:tc>
          <w:tcPr>
            <w:tcW w:w="3955" w:type="dxa"/>
          </w:tcPr>
          <w:p w14:paraId="4AC3CB1B" w14:textId="0358D72B" w:rsidR="000B2F00" w:rsidRPr="00EC52ED" w:rsidRDefault="000B2F00" w:rsidP="000B2F00">
            <w:pPr>
              <w:rPr>
                <w:sz w:val="20"/>
                <w:szCs w:val="20"/>
              </w:rPr>
            </w:pPr>
            <w:r w:rsidRPr="00EC52ED">
              <w:rPr>
                <w:sz w:val="20"/>
                <w:szCs w:val="20"/>
              </w:rPr>
              <w:t>Longer procurement and implementation cycle (6-9 months)</w:t>
            </w:r>
          </w:p>
        </w:tc>
      </w:tr>
      <w:tr w:rsidR="000B2F00" w14:paraId="69F4426B" w14:textId="77777777" w:rsidTr="00EC52ED">
        <w:tc>
          <w:tcPr>
            <w:tcW w:w="1615" w:type="dxa"/>
          </w:tcPr>
          <w:p w14:paraId="25A15FD8" w14:textId="05A987C6" w:rsidR="000B2F00" w:rsidRPr="00EC52ED" w:rsidRDefault="000B2F00" w:rsidP="000B2F00">
            <w:pPr>
              <w:rPr>
                <w:b/>
                <w:bCs/>
                <w:sz w:val="20"/>
                <w:szCs w:val="20"/>
              </w:rPr>
            </w:pPr>
            <w:r w:rsidRPr="00EC52ED">
              <w:rPr>
                <w:b/>
                <w:bCs/>
                <w:sz w:val="20"/>
                <w:szCs w:val="20"/>
              </w:rPr>
              <w:t>Performance</w:t>
            </w:r>
          </w:p>
        </w:tc>
        <w:tc>
          <w:tcPr>
            <w:tcW w:w="3780" w:type="dxa"/>
          </w:tcPr>
          <w:p w14:paraId="3AE6A714" w14:textId="26524FA5" w:rsidR="000B2F00" w:rsidRPr="00EC52ED" w:rsidRDefault="000B2F00" w:rsidP="000B2F00">
            <w:pPr>
              <w:rPr>
                <w:sz w:val="20"/>
                <w:szCs w:val="20"/>
              </w:rPr>
            </w:pPr>
            <w:r w:rsidRPr="00EC52ED">
              <w:rPr>
                <w:sz w:val="20"/>
                <w:szCs w:val="20"/>
              </w:rPr>
              <w:t xml:space="preserve">Optimized for specific traffic patterns in </w:t>
            </w:r>
            <w:proofErr w:type="spellStart"/>
            <w:r w:rsidRPr="00EC52ED">
              <w:rPr>
                <w:sz w:val="20"/>
                <w:szCs w:val="20"/>
              </w:rPr>
              <w:t>WWOps</w:t>
            </w:r>
            <w:proofErr w:type="spellEnd"/>
            <w:r w:rsidRPr="00EC52ED">
              <w:rPr>
                <w:sz w:val="20"/>
                <w:szCs w:val="20"/>
              </w:rPr>
              <w:t xml:space="preserve"> environment</w:t>
            </w:r>
          </w:p>
        </w:tc>
        <w:tc>
          <w:tcPr>
            <w:tcW w:w="3955" w:type="dxa"/>
          </w:tcPr>
          <w:p w14:paraId="3DA47A4A" w14:textId="5F34914D" w:rsidR="000B2F00" w:rsidRPr="00EC52ED" w:rsidRDefault="000B2F00" w:rsidP="000B2F00">
            <w:pPr>
              <w:rPr>
                <w:sz w:val="20"/>
                <w:szCs w:val="20"/>
              </w:rPr>
            </w:pPr>
            <w:r w:rsidRPr="00EC52ED">
              <w:rPr>
                <w:sz w:val="20"/>
                <w:szCs w:val="20"/>
              </w:rPr>
              <w:t>Generic optimization that may include overhead for unused features</w:t>
            </w:r>
          </w:p>
        </w:tc>
      </w:tr>
      <w:tr w:rsidR="000B2F00" w14:paraId="58B3D941" w14:textId="77777777" w:rsidTr="00EC52ED">
        <w:tc>
          <w:tcPr>
            <w:tcW w:w="1615" w:type="dxa"/>
          </w:tcPr>
          <w:p w14:paraId="5AA50565" w14:textId="4E5F5C2D" w:rsidR="000B2F00" w:rsidRPr="00EC52ED" w:rsidRDefault="000B2F00" w:rsidP="000B2F00">
            <w:pPr>
              <w:rPr>
                <w:b/>
                <w:bCs/>
                <w:sz w:val="20"/>
                <w:szCs w:val="20"/>
              </w:rPr>
            </w:pPr>
            <w:r w:rsidRPr="00EC52ED">
              <w:rPr>
                <w:b/>
                <w:bCs/>
                <w:sz w:val="20"/>
                <w:szCs w:val="20"/>
              </w:rPr>
              <w:lastRenderedPageBreak/>
              <w:t>Scalability</w:t>
            </w:r>
          </w:p>
        </w:tc>
        <w:tc>
          <w:tcPr>
            <w:tcW w:w="3780" w:type="dxa"/>
          </w:tcPr>
          <w:p w14:paraId="07CCDD92" w14:textId="3BA78F5B" w:rsidR="000B2F00" w:rsidRPr="00EC52ED" w:rsidRDefault="000B2F00" w:rsidP="000B2F00">
            <w:pPr>
              <w:rPr>
                <w:sz w:val="20"/>
                <w:szCs w:val="20"/>
              </w:rPr>
            </w:pPr>
            <w:r w:rsidRPr="00EC52ED">
              <w:rPr>
                <w:sz w:val="20"/>
                <w:szCs w:val="20"/>
              </w:rPr>
              <w:t>Vertically</w:t>
            </w:r>
            <w:r w:rsidRPr="00EC52ED">
              <w:rPr>
                <w:sz w:val="20"/>
                <w:szCs w:val="20"/>
              </w:rPr>
              <w:t xml:space="preserve"> scalable through </w:t>
            </w:r>
            <w:proofErr w:type="gramStart"/>
            <w:r w:rsidRPr="00EC52ED">
              <w:rPr>
                <w:sz w:val="20"/>
                <w:szCs w:val="20"/>
              </w:rPr>
              <w:t>high capacity</w:t>
            </w:r>
            <w:proofErr w:type="gramEnd"/>
            <w:r w:rsidRPr="00EC52ED">
              <w:rPr>
                <w:sz w:val="20"/>
                <w:szCs w:val="20"/>
              </w:rPr>
              <w:t xml:space="preserve"> hosts</w:t>
            </w:r>
          </w:p>
        </w:tc>
        <w:tc>
          <w:tcPr>
            <w:tcW w:w="3955" w:type="dxa"/>
          </w:tcPr>
          <w:p w14:paraId="595CD067" w14:textId="5A57F89F" w:rsidR="000B2F00" w:rsidRPr="00EC52ED" w:rsidRDefault="000B2F00" w:rsidP="000B2F00">
            <w:pPr>
              <w:rPr>
                <w:sz w:val="20"/>
                <w:szCs w:val="20"/>
              </w:rPr>
            </w:pPr>
            <w:r w:rsidRPr="00EC52ED">
              <w:rPr>
                <w:sz w:val="20"/>
                <w:szCs w:val="20"/>
              </w:rPr>
              <w:t>Typically requires additional licenses or hardware</w:t>
            </w:r>
          </w:p>
        </w:tc>
      </w:tr>
      <w:tr w:rsidR="000B2F00" w14:paraId="60D23B94" w14:textId="77777777" w:rsidTr="00EC52ED">
        <w:tc>
          <w:tcPr>
            <w:tcW w:w="1615" w:type="dxa"/>
          </w:tcPr>
          <w:p w14:paraId="06A28AA7" w14:textId="2E1C266D" w:rsidR="000B2F00" w:rsidRPr="00EC52ED" w:rsidRDefault="000B2F00" w:rsidP="000B2F00">
            <w:pPr>
              <w:rPr>
                <w:b/>
                <w:bCs/>
                <w:sz w:val="20"/>
                <w:szCs w:val="20"/>
              </w:rPr>
            </w:pPr>
            <w:r w:rsidRPr="00EC52ED">
              <w:rPr>
                <w:b/>
                <w:bCs/>
                <w:sz w:val="20"/>
                <w:szCs w:val="20"/>
              </w:rPr>
              <w:t>Integration</w:t>
            </w:r>
          </w:p>
        </w:tc>
        <w:tc>
          <w:tcPr>
            <w:tcW w:w="3780" w:type="dxa"/>
          </w:tcPr>
          <w:p w14:paraId="24ADDBB2" w14:textId="64DED7A5" w:rsidR="000B2F00" w:rsidRPr="00EC52ED" w:rsidRDefault="000B2F00" w:rsidP="000B2F00">
            <w:pPr>
              <w:rPr>
                <w:sz w:val="20"/>
                <w:szCs w:val="20"/>
              </w:rPr>
            </w:pPr>
            <w:r w:rsidRPr="00EC52ED">
              <w:rPr>
                <w:sz w:val="20"/>
                <w:szCs w:val="20"/>
              </w:rPr>
              <w:t xml:space="preserve">Designed specifically for </w:t>
            </w:r>
            <w:r w:rsidRPr="00EC52ED">
              <w:rPr>
                <w:sz w:val="20"/>
                <w:szCs w:val="20"/>
              </w:rPr>
              <w:t>Amazon’s</w:t>
            </w:r>
            <w:r w:rsidRPr="00EC52ED">
              <w:rPr>
                <w:sz w:val="20"/>
                <w:szCs w:val="20"/>
              </w:rPr>
              <w:t xml:space="preserve"> ecosystem</w:t>
            </w:r>
          </w:p>
        </w:tc>
        <w:tc>
          <w:tcPr>
            <w:tcW w:w="3955" w:type="dxa"/>
          </w:tcPr>
          <w:p w14:paraId="3CD209E4" w14:textId="3D5CA32F" w:rsidR="000B2F00" w:rsidRPr="00EC52ED" w:rsidRDefault="000B2F00" w:rsidP="000B2F00">
            <w:pPr>
              <w:rPr>
                <w:sz w:val="20"/>
                <w:szCs w:val="20"/>
              </w:rPr>
            </w:pPr>
            <w:r w:rsidRPr="00EC52ED">
              <w:rPr>
                <w:sz w:val="20"/>
                <w:szCs w:val="20"/>
              </w:rPr>
              <w:t>May require adapters or middleware for full integration</w:t>
            </w:r>
          </w:p>
        </w:tc>
      </w:tr>
      <w:tr w:rsidR="000B2F00" w14:paraId="7C6AF6E0" w14:textId="77777777" w:rsidTr="00EC52ED">
        <w:tc>
          <w:tcPr>
            <w:tcW w:w="1615" w:type="dxa"/>
          </w:tcPr>
          <w:p w14:paraId="7C448F1A" w14:textId="530326CD" w:rsidR="000B2F00" w:rsidRPr="00EC52ED" w:rsidRDefault="000B2F00" w:rsidP="000B2F00">
            <w:pPr>
              <w:rPr>
                <w:b/>
                <w:bCs/>
                <w:sz w:val="20"/>
                <w:szCs w:val="20"/>
              </w:rPr>
            </w:pPr>
            <w:r w:rsidRPr="00EC52ED">
              <w:rPr>
                <w:b/>
                <w:bCs/>
                <w:sz w:val="20"/>
                <w:szCs w:val="20"/>
              </w:rPr>
              <w:t>Customization</w:t>
            </w:r>
          </w:p>
        </w:tc>
        <w:tc>
          <w:tcPr>
            <w:tcW w:w="3780" w:type="dxa"/>
          </w:tcPr>
          <w:p w14:paraId="6D32DFB0" w14:textId="3B6F178B" w:rsidR="000B2F00" w:rsidRPr="00EC52ED" w:rsidRDefault="000B2F00" w:rsidP="000B2F00">
            <w:pPr>
              <w:rPr>
                <w:sz w:val="20"/>
                <w:szCs w:val="20"/>
              </w:rPr>
            </w:pPr>
            <w:r w:rsidRPr="00EC52ED">
              <w:rPr>
                <w:sz w:val="20"/>
                <w:szCs w:val="20"/>
              </w:rPr>
              <w:t>Complete control over features and behaviors</w:t>
            </w:r>
          </w:p>
        </w:tc>
        <w:tc>
          <w:tcPr>
            <w:tcW w:w="3955" w:type="dxa"/>
          </w:tcPr>
          <w:p w14:paraId="53BC5DE5" w14:textId="5CCD4119" w:rsidR="000B2F00" w:rsidRPr="00EC52ED" w:rsidRDefault="000B2F00" w:rsidP="000B2F00">
            <w:pPr>
              <w:rPr>
                <w:sz w:val="20"/>
                <w:szCs w:val="20"/>
              </w:rPr>
            </w:pPr>
            <w:r w:rsidRPr="00EC52ED">
              <w:rPr>
                <w:sz w:val="20"/>
                <w:szCs w:val="20"/>
              </w:rPr>
              <w:t>Limited to vendor's configuration options</w:t>
            </w:r>
          </w:p>
        </w:tc>
      </w:tr>
      <w:tr w:rsidR="000B2F00" w14:paraId="7CB4B93F" w14:textId="77777777" w:rsidTr="00EC52ED">
        <w:tc>
          <w:tcPr>
            <w:tcW w:w="1615" w:type="dxa"/>
          </w:tcPr>
          <w:p w14:paraId="2E8DE3AA" w14:textId="50C91086" w:rsidR="000B2F00" w:rsidRPr="00EC52ED" w:rsidRDefault="000B2F00" w:rsidP="000B2F00">
            <w:pPr>
              <w:rPr>
                <w:b/>
                <w:bCs/>
                <w:sz w:val="20"/>
                <w:szCs w:val="20"/>
              </w:rPr>
            </w:pPr>
            <w:r w:rsidRPr="00EC52ED">
              <w:rPr>
                <w:b/>
                <w:bCs/>
                <w:sz w:val="20"/>
                <w:szCs w:val="20"/>
              </w:rPr>
              <w:t>Maintenance</w:t>
            </w:r>
          </w:p>
        </w:tc>
        <w:tc>
          <w:tcPr>
            <w:tcW w:w="3780" w:type="dxa"/>
          </w:tcPr>
          <w:p w14:paraId="1463C701" w14:textId="3CE59412" w:rsidR="000B2F00" w:rsidRPr="00EC52ED" w:rsidRDefault="000B2F00" w:rsidP="000B2F00">
            <w:pPr>
              <w:rPr>
                <w:sz w:val="20"/>
                <w:szCs w:val="20"/>
              </w:rPr>
            </w:pPr>
            <w:r w:rsidRPr="00EC52ED">
              <w:rPr>
                <w:sz w:val="20"/>
                <w:szCs w:val="20"/>
              </w:rPr>
              <w:t>Requires internal expertise and ownership</w:t>
            </w:r>
          </w:p>
        </w:tc>
        <w:tc>
          <w:tcPr>
            <w:tcW w:w="3955" w:type="dxa"/>
          </w:tcPr>
          <w:p w14:paraId="52D62776" w14:textId="6C687777" w:rsidR="000B2F00" w:rsidRPr="00EC52ED" w:rsidRDefault="000B2F00" w:rsidP="000B2F00">
            <w:pPr>
              <w:rPr>
                <w:sz w:val="20"/>
                <w:szCs w:val="20"/>
              </w:rPr>
            </w:pPr>
            <w:r w:rsidRPr="00EC52ED">
              <w:rPr>
                <w:sz w:val="20"/>
                <w:szCs w:val="20"/>
              </w:rPr>
              <w:t>Vendor-managed updates and patches</w:t>
            </w:r>
          </w:p>
        </w:tc>
      </w:tr>
    </w:tbl>
    <w:p w14:paraId="7FF0F9E2" w14:textId="720658E3" w:rsidR="009A17D3" w:rsidRDefault="009A17D3" w:rsidP="00EC52ED">
      <w:pPr>
        <w:pStyle w:val="Heading4"/>
      </w:pPr>
      <w:r>
        <w:t>Financial Analysis</w:t>
      </w:r>
    </w:p>
    <w:p w14:paraId="3738B178" w14:textId="77777777" w:rsidR="007D5B9B" w:rsidRDefault="007D5B9B" w:rsidP="007D5B9B">
      <w:r>
        <w:t xml:space="preserve">The financial impact of this decision is substantial given the </w:t>
      </w:r>
      <w:proofErr w:type="gramStart"/>
      <w:r>
        <w:t>15,000 unit</w:t>
      </w:r>
      <w:proofErr w:type="gramEnd"/>
      <w:r>
        <w:t xml:space="preserve"> deployment scale:</w:t>
      </w:r>
    </w:p>
    <w:tbl>
      <w:tblPr>
        <w:tblStyle w:val="TableGrid"/>
        <w:tblW w:w="0" w:type="auto"/>
        <w:tblLook w:val="04A0" w:firstRow="1" w:lastRow="0" w:firstColumn="1" w:lastColumn="0" w:noHBand="0" w:noVBand="1"/>
      </w:tblPr>
      <w:tblGrid>
        <w:gridCol w:w="1615"/>
        <w:gridCol w:w="3780"/>
        <w:gridCol w:w="3955"/>
      </w:tblGrid>
      <w:tr w:rsidR="007D5B9B" w14:paraId="1D1441FA" w14:textId="77777777" w:rsidTr="00EC52ED">
        <w:tc>
          <w:tcPr>
            <w:tcW w:w="1615" w:type="dxa"/>
          </w:tcPr>
          <w:p w14:paraId="6D7B81F7" w14:textId="23E8A350" w:rsidR="007D5B9B" w:rsidRPr="00EC52ED" w:rsidRDefault="007D5B9B" w:rsidP="009A17D3">
            <w:pPr>
              <w:rPr>
                <w:b/>
                <w:bCs/>
                <w:sz w:val="20"/>
                <w:szCs w:val="20"/>
              </w:rPr>
            </w:pPr>
            <w:r w:rsidRPr="00EC52ED">
              <w:rPr>
                <w:b/>
                <w:bCs/>
                <w:sz w:val="20"/>
                <w:szCs w:val="20"/>
              </w:rPr>
              <w:t>Cost Category</w:t>
            </w:r>
          </w:p>
        </w:tc>
        <w:tc>
          <w:tcPr>
            <w:tcW w:w="3780" w:type="dxa"/>
          </w:tcPr>
          <w:p w14:paraId="3635D2EC" w14:textId="41B8ADD9" w:rsidR="007D5B9B" w:rsidRPr="00EC52ED" w:rsidRDefault="007D5B9B" w:rsidP="009A17D3">
            <w:pPr>
              <w:rPr>
                <w:b/>
                <w:bCs/>
                <w:sz w:val="20"/>
                <w:szCs w:val="20"/>
              </w:rPr>
            </w:pPr>
            <w:r w:rsidRPr="00EC52ED">
              <w:rPr>
                <w:b/>
                <w:bCs/>
                <w:sz w:val="20"/>
                <w:szCs w:val="20"/>
              </w:rPr>
              <w:t>Custom Build Approach</w:t>
            </w:r>
          </w:p>
        </w:tc>
        <w:tc>
          <w:tcPr>
            <w:tcW w:w="3955" w:type="dxa"/>
          </w:tcPr>
          <w:p w14:paraId="49E97AAE" w14:textId="5633A46B" w:rsidR="007D5B9B" w:rsidRPr="00EC52ED" w:rsidRDefault="007D5B9B" w:rsidP="009A17D3">
            <w:pPr>
              <w:rPr>
                <w:b/>
                <w:bCs/>
                <w:sz w:val="20"/>
                <w:szCs w:val="20"/>
              </w:rPr>
            </w:pPr>
            <w:r w:rsidRPr="00EC52ED">
              <w:rPr>
                <w:b/>
                <w:bCs/>
                <w:sz w:val="20"/>
                <w:szCs w:val="20"/>
              </w:rPr>
              <w:t>Commercial Industrial Firewalls</w:t>
            </w:r>
          </w:p>
        </w:tc>
      </w:tr>
      <w:tr w:rsidR="007D5B9B" w14:paraId="25DAD2B4" w14:textId="77777777" w:rsidTr="00EC52ED">
        <w:tc>
          <w:tcPr>
            <w:tcW w:w="1615" w:type="dxa"/>
          </w:tcPr>
          <w:p w14:paraId="2D33C25A" w14:textId="7BB475AA" w:rsidR="007D5B9B" w:rsidRPr="00EC52ED" w:rsidRDefault="007D5B9B" w:rsidP="009A17D3">
            <w:pPr>
              <w:rPr>
                <w:b/>
                <w:bCs/>
                <w:sz w:val="20"/>
                <w:szCs w:val="20"/>
              </w:rPr>
            </w:pPr>
            <w:r w:rsidRPr="00EC52ED">
              <w:rPr>
                <w:b/>
                <w:bCs/>
                <w:sz w:val="20"/>
                <w:szCs w:val="20"/>
              </w:rPr>
              <w:t>Hardware Costs (Baseline)</w:t>
            </w:r>
          </w:p>
        </w:tc>
        <w:tc>
          <w:tcPr>
            <w:tcW w:w="3780" w:type="dxa"/>
          </w:tcPr>
          <w:p w14:paraId="35B3C8D1" w14:textId="47B79F19" w:rsidR="007D5B9B" w:rsidRPr="00EC52ED" w:rsidRDefault="007D5B9B" w:rsidP="009A17D3">
            <w:pPr>
              <w:rPr>
                <w:sz w:val="20"/>
                <w:szCs w:val="20"/>
              </w:rPr>
            </w:pPr>
            <w:r w:rsidRPr="00EC52ED">
              <w:rPr>
                <w:sz w:val="20"/>
                <w:szCs w:val="20"/>
              </w:rPr>
              <w:t>$3-4.5 million ($200-300 × 15,000)</w:t>
            </w:r>
          </w:p>
        </w:tc>
        <w:tc>
          <w:tcPr>
            <w:tcW w:w="3955" w:type="dxa"/>
          </w:tcPr>
          <w:p w14:paraId="4D2BD6C3" w14:textId="533428D0" w:rsidR="007D5B9B" w:rsidRPr="00EC52ED" w:rsidRDefault="007D5B9B" w:rsidP="009A17D3">
            <w:pPr>
              <w:rPr>
                <w:sz w:val="20"/>
                <w:szCs w:val="20"/>
              </w:rPr>
            </w:pPr>
            <w:r w:rsidRPr="00EC52ED">
              <w:rPr>
                <w:sz w:val="20"/>
                <w:szCs w:val="20"/>
              </w:rPr>
              <w:t>$30 million ($2,000 × 15,000)</w:t>
            </w:r>
          </w:p>
        </w:tc>
      </w:tr>
      <w:tr w:rsidR="007D5B9B" w14:paraId="01A565B8" w14:textId="77777777" w:rsidTr="00EC52ED">
        <w:tc>
          <w:tcPr>
            <w:tcW w:w="1615" w:type="dxa"/>
          </w:tcPr>
          <w:p w14:paraId="56D21164" w14:textId="10DAF834" w:rsidR="007D5B9B" w:rsidRPr="00EC52ED" w:rsidRDefault="007D5B9B" w:rsidP="009A17D3">
            <w:pPr>
              <w:rPr>
                <w:b/>
                <w:bCs/>
                <w:sz w:val="20"/>
                <w:szCs w:val="20"/>
              </w:rPr>
            </w:pPr>
            <w:r w:rsidRPr="00EC52ED">
              <w:rPr>
                <w:b/>
                <w:bCs/>
                <w:sz w:val="20"/>
                <w:szCs w:val="20"/>
              </w:rPr>
              <w:t>Hardware Costs (Advanced)</w:t>
            </w:r>
          </w:p>
        </w:tc>
        <w:tc>
          <w:tcPr>
            <w:tcW w:w="3780" w:type="dxa"/>
          </w:tcPr>
          <w:p w14:paraId="53F2068A" w14:textId="2740B8B6" w:rsidR="007D5B9B" w:rsidRPr="00EC52ED" w:rsidRDefault="007D5B9B" w:rsidP="009A17D3">
            <w:pPr>
              <w:rPr>
                <w:sz w:val="20"/>
                <w:szCs w:val="20"/>
              </w:rPr>
            </w:pPr>
            <w:r w:rsidRPr="00EC52ED">
              <w:rPr>
                <w:sz w:val="20"/>
                <w:szCs w:val="20"/>
              </w:rPr>
              <w:t>$22.5 million ($1,500 × 15,000)</w:t>
            </w:r>
          </w:p>
        </w:tc>
        <w:tc>
          <w:tcPr>
            <w:tcW w:w="3955" w:type="dxa"/>
          </w:tcPr>
          <w:p w14:paraId="06F1B47A" w14:textId="75088148" w:rsidR="007D5B9B" w:rsidRPr="00EC52ED" w:rsidRDefault="007D5B9B" w:rsidP="009A17D3">
            <w:pPr>
              <w:rPr>
                <w:sz w:val="20"/>
                <w:szCs w:val="20"/>
              </w:rPr>
            </w:pPr>
            <w:r w:rsidRPr="00EC52ED">
              <w:rPr>
                <w:sz w:val="20"/>
                <w:szCs w:val="20"/>
              </w:rPr>
              <w:t>$52.5-67.5 million ($3,500-4,500 × 15,000)</w:t>
            </w:r>
          </w:p>
        </w:tc>
      </w:tr>
      <w:tr w:rsidR="007D5B9B" w14:paraId="0EBCDA9D" w14:textId="77777777" w:rsidTr="00EC52ED">
        <w:tc>
          <w:tcPr>
            <w:tcW w:w="1615" w:type="dxa"/>
          </w:tcPr>
          <w:p w14:paraId="413BFC91" w14:textId="6F87ADC9" w:rsidR="007D5B9B" w:rsidRPr="00EC52ED" w:rsidRDefault="007D5B9B" w:rsidP="009A17D3">
            <w:pPr>
              <w:rPr>
                <w:b/>
                <w:bCs/>
                <w:sz w:val="20"/>
                <w:szCs w:val="20"/>
              </w:rPr>
            </w:pPr>
            <w:r w:rsidRPr="00EC52ED">
              <w:rPr>
                <w:b/>
                <w:bCs/>
                <w:sz w:val="20"/>
                <w:szCs w:val="20"/>
              </w:rPr>
              <w:t>Development Costs</w:t>
            </w:r>
          </w:p>
        </w:tc>
        <w:tc>
          <w:tcPr>
            <w:tcW w:w="3780" w:type="dxa"/>
          </w:tcPr>
          <w:p w14:paraId="35550D69" w14:textId="40EBA898" w:rsidR="007D5B9B" w:rsidRPr="00EC52ED" w:rsidRDefault="007D5B9B" w:rsidP="009A17D3">
            <w:pPr>
              <w:rPr>
                <w:sz w:val="20"/>
                <w:szCs w:val="20"/>
              </w:rPr>
            </w:pPr>
            <w:r w:rsidRPr="00EC52ED">
              <w:rPr>
                <w:sz w:val="20"/>
                <w:szCs w:val="20"/>
              </w:rPr>
              <w:t>$1.5-2.5 million (team of 8-10 developers for 12 months)</w:t>
            </w:r>
          </w:p>
        </w:tc>
        <w:tc>
          <w:tcPr>
            <w:tcW w:w="3955" w:type="dxa"/>
          </w:tcPr>
          <w:p w14:paraId="1AF04612" w14:textId="7D3938D1" w:rsidR="007D5B9B" w:rsidRPr="00EC52ED" w:rsidRDefault="007D5B9B" w:rsidP="009A17D3">
            <w:pPr>
              <w:rPr>
                <w:sz w:val="20"/>
                <w:szCs w:val="20"/>
              </w:rPr>
            </w:pPr>
            <w:r w:rsidRPr="00EC52ED">
              <w:rPr>
                <w:sz w:val="20"/>
                <w:szCs w:val="20"/>
              </w:rPr>
              <w:t>Minimal customization costs</w:t>
            </w:r>
          </w:p>
        </w:tc>
      </w:tr>
      <w:tr w:rsidR="007D5B9B" w14:paraId="4B97EA61" w14:textId="77777777" w:rsidTr="00EC52ED">
        <w:tc>
          <w:tcPr>
            <w:tcW w:w="1615" w:type="dxa"/>
          </w:tcPr>
          <w:p w14:paraId="7E1B63BE" w14:textId="737DFB34" w:rsidR="007D5B9B" w:rsidRPr="00EC52ED" w:rsidRDefault="007D5B9B" w:rsidP="009A17D3">
            <w:pPr>
              <w:rPr>
                <w:b/>
                <w:bCs/>
                <w:sz w:val="20"/>
                <w:szCs w:val="20"/>
              </w:rPr>
            </w:pPr>
            <w:r w:rsidRPr="00EC52ED">
              <w:rPr>
                <w:b/>
                <w:bCs/>
                <w:sz w:val="20"/>
                <w:szCs w:val="20"/>
              </w:rPr>
              <w:t>Annual Licensing</w:t>
            </w:r>
          </w:p>
        </w:tc>
        <w:tc>
          <w:tcPr>
            <w:tcW w:w="3780" w:type="dxa"/>
          </w:tcPr>
          <w:p w14:paraId="7BCE5E64" w14:textId="0132229E" w:rsidR="007D5B9B" w:rsidRPr="00EC52ED" w:rsidRDefault="007D5B9B" w:rsidP="009A17D3">
            <w:pPr>
              <w:rPr>
                <w:sz w:val="20"/>
                <w:szCs w:val="20"/>
              </w:rPr>
            </w:pPr>
            <w:r w:rsidRPr="00EC52ED">
              <w:rPr>
                <w:sz w:val="20"/>
                <w:szCs w:val="20"/>
              </w:rPr>
              <w:t>None</w:t>
            </w:r>
          </w:p>
        </w:tc>
        <w:tc>
          <w:tcPr>
            <w:tcW w:w="3955" w:type="dxa"/>
          </w:tcPr>
          <w:p w14:paraId="37081199" w14:textId="482FA20A" w:rsidR="007D5B9B" w:rsidRPr="00EC52ED" w:rsidRDefault="007D5B9B" w:rsidP="009A17D3">
            <w:pPr>
              <w:rPr>
                <w:sz w:val="20"/>
                <w:szCs w:val="20"/>
              </w:rPr>
            </w:pPr>
            <w:r w:rsidRPr="00EC52ED">
              <w:rPr>
                <w:sz w:val="20"/>
                <w:szCs w:val="20"/>
              </w:rPr>
              <w:t>Undetermined but likely 15-25% of hardware costs annually</w:t>
            </w:r>
          </w:p>
        </w:tc>
      </w:tr>
      <w:tr w:rsidR="007D5B9B" w14:paraId="6609936C" w14:textId="77777777" w:rsidTr="00EC52ED">
        <w:tc>
          <w:tcPr>
            <w:tcW w:w="1615" w:type="dxa"/>
          </w:tcPr>
          <w:p w14:paraId="1E07763D" w14:textId="2D7F3117" w:rsidR="007D5B9B" w:rsidRPr="00EC52ED" w:rsidRDefault="007D5B9B" w:rsidP="009A17D3">
            <w:pPr>
              <w:rPr>
                <w:b/>
                <w:bCs/>
                <w:sz w:val="20"/>
                <w:szCs w:val="20"/>
              </w:rPr>
            </w:pPr>
            <w:r w:rsidRPr="00EC52ED">
              <w:rPr>
                <w:b/>
                <w:bCs/>
                <w:sz w:val="20"/>
                <w:szCs w:val="20"/>
              </w:rPr>
              <w:t>Maintenance Costs</w:t>
            </w:r>
          </w:p>
        </w:tc>
        <w:tc>
          <w:tcPr>
            <w:tcW w:w="3780" w:type="dxa"/>
          </w:tcPr>
          <w:p w14:paraId="1F4FC453" w14:textId="61427C9E" w:rsidR="007D5B9B" w:rsidRPr="00EC52ED" w:rsidRDefault="007D5B9B" w:rsidP="009A17D3">
            <w:pPr>
              <w:rPr>
                <w:sz w:val="20"/>
                <w:szCs w:val="20"/>
              </w:rPr>
            </w:pPr>
            <w:r w:rsidRPr="00EC52ED">
              <w:rPr>
                <w:sz w:val="20"/>
                <w:szCs w:val="20"/>
              </w:rPr>
              <w:t>$800,000-1.2 million annually (team of 5-8 engineers)</w:t>
            </w:r>
          </w:p>
        </w:tc>
        <w:tc>
          <w:tcPr>
            <w:tcW w:w="3955" w:type="dxa"/>
          </w:tcPr>
          <w:p w14:paraId="522B668A" w14:textId="120ACE5B" w:rsidR="007D5B9B" w:rsidRPr="00EC52ED" w:rsidRDefault="007D5B9B" w:rsidP="009A17D3">
            <w:pPr>
              <w:rPr>
                <w:sz w:val="20"/>
                <w:szCs w:val="20"/>
              </w:rPr>
            </w:pPr>
            <w:r w:rsidRPr="00EC52ED">
              <w:rPr>
                <w:sz w:val="20"/>
                <w:szCs w:val="20"/>
              </w:rPr>
              <w:t>Support contracts plus internal resources</w:t>
            </w:r>
          </w:p>
        </w:tc>
      </w:tr>
      <w:tr w:rsidR="007D5B9B" w14:paraId="7BC2536F" w14:textId="77777777" w:rsidTr="00EC52ED">
        <w:tc>
          <w:tcPr>
            <w:tcW w:w="1615" w:type="dxa"/>
          </w:tcPr>
          <w:p w14:paraId="18698787" w14:textId="05A09157" w:rsidR="007D5B9B" w:rsidRPr="00EC52ED" w:rsidRDefault="007D5B9B" w:rsidP="009A17D3">
            <w:pPr>
              <w:rPr>
                <w:b/>
                <w:bCs/>
                <w:sz w:val="20"/>
                <w:szCs w:val="20"/>
              </w:rPr>
            </w:pPr>
            <w:r w:rsidRPr="00EC52ED">
              <w:rPr>
                <w:b/>
                <w:bCs/>
                <w:sz w:val="20"/>
                <w:szCs w:val="20"/>
              </w:rPr>
              <w:t>5-Year TCO (Baseline)</w:t>
            </w:r>
          </w:p>
        </w:tc>
        <w:tc>
          <w:tcPr>
            <w:tcW w:w="3780" w:type="dxa"/>
          </w:tcPr>
          <w:p w14:paraId="23811219" w14:textId="2DF70EAD" w:rsidR="007D5B9B" w:rsidRPr="00EC52ED" w:rsidRDefault="007D5B9B" w:rsidP="009A17D3">
            <w:pPr>
              <w:rPr>
                <w:sz w:val="20"/>
                <w:szCs w:val="20"/>
              </w:rPr>
            </w:pPr>
            <w:r w:rsidRPr="00EC52ED">
              <w:rPr>
                <w:sz w:val="20"/>
                <w:szCs w:val="20"/>
              </w:rPr>
              <w:t>$8-12 million</w:t>
            </w:r>
          </w:p>
        </w:tc>
        <w:tc>
          <w:tcPr>
            <w:tcW w:w="3955" w:type="dxa"/>
          </w:tcPr>
          <w:p w14:paraId="29A00A92" w14:textId="43E561F8" w:rsidR="007D5B9B" w:rsidRPr="00EC52ED" w:rsidRDefault="007D5B9B" w:rsidP="009A17D3">
            <w:pPr>
              <w:rPr>
                <w:sz w:val="20"/>
                <w:szCs w:val="20"/>
              </w:rPr>
            </w:pPr>
            <w:r w:rsidRPr="00EC52ED">
              <w:rPr>
                <w:sz w:val="20"/>
                <w:szCs w:val="20"/>
              </w:rPr>
              <w:t>$52.5-67.5 million (including estimated licensing)</w:t>
            </w:r>
          </w:p>
        </w:tc>
      </w:tr>
      <w:tr w:rsidR="007D5B9B" w14:paraId="3ED6A8E5" w14:textId="77777777" w:rsidTr="00EC52ED">
        <w:tc>
          <w:tcPr>
            <w:tcW w:w="1615" w:type="dxa"/>
          </w:tcPr>
          <w:p w14:paraId="6907C5B4" w14:textId="1EA94602" w:rsidR="007D5B9B" w:rsidRPr="00EC52ED" w:rsidRDefault="007D5B9B" w:rsidP="009A17D3">
            <w:pPr>
              <w:rPr>
                <w:b/>
                <w:bCs/>
                <w:sz w:val="20"/>
                <w:szCs w:val="20"/>
              </w:rPr>
            </w:pPr>
            <w:r w:rsidRPr="00EC52ED">
              <w:rPr>
                <w:b/>
                <w:bCs/>
                <w:sz w:val="20"/>
                <w:szCs w:val="20"/>
              </w:rPr>
              <w:t>Cost Savings</w:t>
            </w:r>
          </w:p>
        </w:tc>
        <w:tc>
          <w:tcPr>
            <w:tcW w:w="3780" w:type="dxa"/>
          </w:tcPr>
          <w:p w14:paraId="6A38784F" w14:textId="0549C837" w:rsidR="007D5B9B" w:rsidRPr="00EC52ED" w:rsidRDefault="007D5B9B" w:rsidP="009A17D3">
            <w:pPr>
              <w:rPr>
                <w:sz w:val="20"/>
                <w:szCs w:val="20"/>
              </w:rPr>
            </w:pPr>
            <w:r w:rsidRPr="00EC52ED">
              <w:rPr>
                <w:sz w:val="20"/>
                <w:szCs w:val="20"/>
              </w:rPr>
              <w:t>$</w:t>
            </w:r>
            <w:r w:rsidRPr="00EC52ED">
              <w:rPr>
                <w:sz w:val="20"/>
                <w:szCs w:val="20"/>
              </w:rPr>
              <w:t>40-55.5 million over 5 years</w:t>
            </w:r>
          </w:p>
        </w:tc>
        <w:tc>
          <w:tcPr>
            <w:tcW w:w="3955" w:type="dxa"/>
          </w:tcPr>
          <w:p w14:paraId="136C5A73" w14:textId="104800D3" w:rsidR="007D5B9B" w:rsidRPr="00EC52ED" w:rsidRDefault="007D5B9B" w:rsidP="009A17D3">
            <w:pPr>
              <w:rPr>
                <w:sz w:val="20"/>
                <w:szCs w:val="20"/>
              </w:rPr>
            </w:pPr>
            <w:r w:rsidRPr="00EC52ED">
              <w:rPr>
                <w:sz w:val="20"/>
                <w:szCs w:val="20"/>
              </w:rPr>
              <w:t>Baseline for comparison</w:t>
            </w:r>
          </w:p>
        </w:tc>
      </w:tr>
    </w:tbl>
    <w:p w14:paraId="367E0B22" w14:textId="77777777" w:rsidR="00EC52ED" w:rsidRDefault="00EC52ED" w:rsidP="009A17D3"/>
    <w:p w14:paraId="6A56503A" w14:textId="48D535CE" w:rsidR="009A17D3" w:rsidRDefault="009A17D3" w:rsidP="009A17D3">
      <w:r>
        <w:t>Even allocating substantial resources for development and maintenance, the build approach represents a potential savings of $40-55.5 million over a 5-year period. This financial difference is significant enough to overcome many of the technical advantages of commercial solutions.</w:t>
      </w:r>
    </w:p>
    <w:p w14:paraId="116C938F" w14:textId="0C3A2500" w:rsidR="009A17D3" w:rsidRDefault="009A17D3" w:rsidP="00EC52ED">
      <w:pPr>
        <w:pStyle w:val="Heading4"/>
      </w:pPr>
      <w:r>
        <w:t>Cultural and Strategic Alignment</w:t>
      </w:r>
    </w:p>
    <w:p w14:paraId="0DC4B187" w14:textId="42C69BE3" w:rsidR="009A17D3" w:rsidRDefault="007D5B9B" w:rsidP="009A17D3">
      <w:r>
        <w:t>Amazon</w:t>
      </w:r>
      <w:r w:rsidR="009A17D3">
        <w:t>'s history of innovation and disruption is a crucial competitive advantage. The custom build approach reinforces this culture by:</w:t>
      </w:r>
    </w:p>
    <w:p w14:paraId="70251C5D" w14:textId="517AAA46" w:rsidR="009A17D3" w:rsidRDefault="009A17D3" w:rsidP="00EC52ED">
      <w:pPr>
        <w:pStyle w:val="ListParagraph"/>
        <w:numPr>
          <w:ilvl w:val="0"/>
          <w:numId w:val="7"/>
        </w:numPr>
      </w:pPr>
      <w:r w:rsidRPr="00EC52ED">
        <w:rPr>
          <w:b/>
          <w:bCs/>
        </w:rPr>
        <w:t>Fostering innovation competency</w:t>
      </w:r>
      <w:r>
        <w:t xml:space="preserve"> among security team members</w:t>
      </w:r>
    </w:p>
    <w:p w14:paraId="5ABE098E" w14:textId="65D50632" w:rsidR="009A17D3" w:rsidRDefault="009A17D3" w:rsidP="00EC52ED">
      <w:pPr>
        <w:pStyle w:val="ListParagraph"/>
        <w:numPr>
          <w:ilvl w:val="0"/>
          <w:numId w:val="7"/>
        </w:numPr>
      </w:pPr>
      <w:r w:rsidRPr="00EC52ED">
        <w:rPr>
          <w:b/>
          <w:bCs/>
        </w:rPr>
        <w:t>Developing institutional knowledge</w:t>
      </w:r>
      <w:r>
        <w:t xml:space="preserve"> specific to </w:t>
      </w:r>
      <w:proofErr w:type="spellStart"/>
      <w:r w:rsidR="007D5B9B">
        <w:t>WWOps</w:t>
      </w:r>
      <w:proofErr w:type="spellEnd"/>
      <w:r>
        <w:t xml:space="preserve"> OT environment</w:t>
      </w:r>
    </w:p>
    <w:p w14:paraId="47816A79" w14:textId="7F9F0A24" w:rsidR="009A17D3" w:rsidRDefault="009A17D3" w:rsidP="00EC52ED">
      <w:pPr>
        <w:pStyle w:val="ListParagraph"/>
        <w:numPr>
          <w:ilvl w:val="0"/>
          <w:numId w:val="7"/>
        </w:numPr>
      </w:pPr>
      <w:r w:rsidRPr="00EC52ED">
        <w:rPr>
          <w:b/>
          <w:bCs/>
        </w:rPr>
        <w:t>Creating opportunities for cross-functional collaboration</w:t>
      </w:r>
      <w:r>
        <w:t xml:space="preserve"> between security, operations, and development teams</w:t>
      </w:r>
    </w:p>
    <w:p w14:paraId="4ADE6E49" w14:textId="5A11E6ED" w:rsidR="009A17D3" w:rsidRDefault="009A17D3" w:rsidP="00EC52ED">
      <w:pPr>
        <w:pStyle w:val="ListParagraph"/>
        <w:numPr>
          <w:ilvl w:val="0"/>
          <w:numId w:val="7"/>
        </w:numPr>
      </w:pPr>
      <w:r w:rsidRPr="00EC52ED">
        <w:rPr>
          <w:b/>
          <w:bCs/>
        </w:rPr>
        <w:t xml:space="preserve">Demonstrating commitment to </w:t>
      </w:r>
      <w:r w:rsidR="007D5B9B" w:rsidRPr="00EC52ED">
        <w:rPr>
          <w:b/>
          <w:bCs/>
        </w:rPr>
        <w:t>Amazon</w:t>
      </w:r>
      <w:r w:rsidRPr="00EC52ED">
        <w:rPr>
          <w:b/>
          <w:bCs/>
        </w:rPr>
        <w:t>'s innovative ethos</w:t>
      </w:r>
    </w:p>
    <w:p w14:paraId="5239C78D" w14:textId="34690DBE" w:rsidR="009A17D3" w:rsidRDefault="009A17D3" w:rsidP="00EC52ED">
      <w:pPr>
        <w:pStyle w:val="ListParagraph"/>
        <w:numPr>
          <w:ilvl w:val="0"/>
          <w:numId w:val="7"/>
        </w:numPr>
      </w:pPr>
      <w:r w:rsidRPr="00EC52ED">
        <w:rPr>
          <w:b/>
          <w:bCs/>
        </w:rPr>
        <w:t>Establishing security as an innovation partner</w:t>
      </w:r>
      <w:r>
        <w:t xml:space="preserve"> rather than a constraint</w:t>
      </w:r>
    </w:p>
    <w:p w14:paraId="333C369D" w14:textId="77777777" w:rsidR="009A17D3" w:rsidRDefault="009A17D3" w:rsidP="009A17D3">
      <w:r>
        <w:lastRenderedPageBreak/>
        <w:t>Commercial solutions, while providing immediate feature completeness, may reinforce a consumption mindset rather than a creation mindset. This subtle shift can impact how security is perceived within the organization and influence future decision-making.</w:t>
      </w:r>
    </w:p>
    <w:p w14:paraId="53B0213B" w14:textId="11AC395B" w:rsidR="009A17D3" w:rsidRDefault="009A17D3" w:rsidP="00EC52ED">
      <w:pPr>
        <w:pStyle w:val="Heading3"/>
      </w:pPr>
      <w:r>
        <w:t>Technical Architecture Recommendation</w:t>
      </w:r>
    </w:p>
    <w:p w14:paraId="0755A010" w14:textId="27CFA87B" w:rsidR="009A17D3" w:rsidRDefault="007D5B9B" w:rsidP="009A17D3">
      <w:r>
        <w:t>CLS</w:t>
      </w:r>
      <w:r w:rsidR="009A17D3">
        <w:t xml:space="preserve"> recommend</w:t>
      </w:r>
      <w:r>
        <w:t xml:space="preserve">s </w:t>
      </w:r>
      <w:r w:rsidR="009A17D3">
        <w:t xml:space="preserve">a </w:t>
      </w:r>
      <w:r w:rsidR="009A17D3" w:rsidRPr="007D5B9B">
        <w:rPr>
          <w:b/>
          <w:bCs/>
        </w:rPr>
        <w:t>hybrid approach heavily weighted toward the build option</w:t>
      </w:r>
      <w:r w:rsidR="009A17D3">
        <w:t xml:space="preserve"> with the following components:</w:t>
      </w:r>
    </w:p>
    <w:p w14:paraId="057C8AE1" w14:textId="105F8DC7" w:rsidR="009A17D3" w:rsidRDefault="009A17D3" w:rsidP="00EC52ED">
      <w:pPr>
        <w:pStyle w:val="ListParagraph"/>
        <w:numPr>
          <w:ilvl w:val="0"/>
          <w:numId w:val="5"/>
        </w:numPr>
      </w:pPr>
      <w:r w:rsidRPr="007D5B9B">
        <w:rPr>
          <w:b/>
          <w:bCs/>
        </w:rPr>
        <w:t>Core Segmentation Layer:</w:t>
      </w:r>
      <w:r>
        <w:t xml:space="preserve"> Custom-built lightweight Linux-based firewall nodes deployed as container instances for east/west traffic control</w:t>
      </w:r>
    </w:p>
    <w:p w14:paraId="15E88F51" w14:textId="04E04D44" w:rsidR="009A17D3" w:rsidRDefault="009A17D3" w:rsidP="00EC52ED">
      <w:pPr>
        <w:pStyle w:val="ListParagraph"/>
        <w:numPr>
          <w:ilvl w:val="0"/>
          <w:numId w:val="5"/>
        </w:numPr>
      </w:pPr>
      <w:r w:rsidRPr="007D5B9B">
        <w:rPr>
          <w:b/>
          <w:bCs/>
        </w:rPr>
        <w:t>Central Management Plane:</w:t>
      </w:r>
      <w:r>
        <w:t xml:space="preserve"> Simple orchestration system for policy deployment and configuration management</w:t>
      </w:r>
    </w:p>
    <w:p w14:paraId="15CEC509" w14:textId="720B4E91" w:rsidR="009A17D3" w:rsidRDefault="009A17D3" w:rsidP="00EC52ED">
      <w:pPr>
        <w:pStyle w:val="ListParagraph"/>
        <w:numPr>
          <w:ilvl w:val="0"/>
          <w:numId w:val="5"/>
        </w:numPr>
      </w:pPr>
      <w:r w:rsidRPr="007D5B9B">
        <w:rPr>
          <w:b/>
          <w:bCs/>
        </w:rPr>
        <w:t>Monitoring and Analytics:</w:t>
      </w:r>
      <w:r>
        <w:t xml:space="preserve"> Integration with existing SIEM/SOC infrastructure using standard protocols</w:t>
      </w:r>
    </w:p>
    <w:p w14:paraId="38699CFF" w14:textId="125B6577" w:rsidR="009A17D3" w:rsidRDefault="009A17D3" w:rsidP="00EC52ED">
      <w:pPr>
        <w:pStyle w:val="ListParagraph"/>
        <w:numPr>
          <w:ilvl w:val="0"/>
          <w:numId w:val="5"/>
        </w:numPr>
      </w:pPr>
      <w:r w:rsidRPr="007D5B9B">
        <w:rPr>
          <w:b/>
          <w:bCs/>
        </w:rPr>
        <w:t>Industrial Protocol Inspection</w:t>
      </w:r>
      <w:r>
        <w:t>: Focused parsing and validation for critical ICS protocols in your environment</w:t>
      </w:r>
    </w:p>
    <w:p w14:paraId="46B8BB5A" w14:textId="47311319" w:rsidR="009A17D3" w:rsidRDefault="009A17D3" w:rsidP="00EC52ED">
      <w:pPr>
        <w:pStyle w:val="ListParagraph"/>
        <w:numPr>
          <w:ilvl w:val="0"/>
          <w:numId w:val="5"/>
        </w:numPr>
      </w:pPr>
      <w:r w:rsidRPr="007D5B9B">
        <w:rPr>
          <w:b/>
          <w:bCs/>
        </w:rPr>
        <w:t>Future Expansion Hooks:</w:t>
      </w:r>
      <w:r>
        <w:t xml:space="preserve"> Well-defined APIs and interfaces for adding capabilities as requirements emerge</w:t>
      </w:r>
    </w:p>
    <w:p w14:paraId="4AEC664D" w14:textId="77777777" w:rsidR="009A17D3" w:rsidRDefault="009A17D3" w:rsidP="009A17D3">
      <w:r>
        <w:t>The architecture employs a distributed enforcement model with centralized policy management, allowing for deployment flexibility across various OT network segments. This approach creates clear boundaries between operational zones while maintaining the performance requirements of industrial systems.</w:t>
      </w:r>
    </w:p>
    <w:p w14:paraId="09CEA5C5" w14:textId="2EA6DEB8" w:rsidR="009A17D3" w:rsidRPr="009A17D3" w:rsidRDefault="009A17D3" w:rsidP="00EC52ED">
      <w:pPr>
        <w:pStyle w:val="Heading3"/>
      </w:pPr>
      <w:r>
        <w:t>Phased Implementation Roadmap</w:t>
      </w:r>
    </w:p>
    <w:p w14:paraId="1A2B4DD8" w14:textId="3FFAEA1B" w:rsidR="009A17D3" w:rsidRDefault="009A17D3" w:rsidP="00EC52ED">
      <w:pPr>
        <w:pStyle w:val="Heading4"/>
      </w:pPr>
      <w:r>
        <w:t>Phase 1: Minimum Viable Secure Solution (Weeks 1-12)</w:t>
      </w:r>
    </w:p>
    <w:p w14:paraId="0A562792" w14:textId="2AF04C1B" w:rsidR="009A17D3" w:rsidRDefault="009A17D3" w:rsidP="00EC52ED">
      <w:pPr>
        <w:pStyle w:val="ListParagraph"/>
        <w:numPr>
          <w:ilvl w:val="0"/>
          <w:numId w:val="8"/>
        </w:numPr>
      </w:pPr>
      <w:r>
        <w:t>Define core traffic filtering requirements through OT network traffic analysis</w:t>
      </w:r>
    </w:p>
    <w:p w14:paraId="2638C62F" w14:textId="542CC945" w:rsidR="009A17D3" w:rsidRDefault="009A17D3" w:rsidP="00EC52ED">
      <w:pPr>
        <w:pStyle w:val="ListParagraph"/>
        <w:numPr>
          <w:ilvl w:val="0"/>
          <w:numId w:val="8"/>
        </w:numPr>
      </w:pPr>
      <w:r>
        <w:t>Develop and test baseline packet filtering for critical asset protection</w:t>
      </w:r>
    </w:p>
    <w:p w14:paraId="6B17D11D" w14:textId="52D6DABB" w:rsidR="009A17D3" w:rsidRDefault="009A17D3" w:rsidP="00EC52ED">
      <w:pPr>
        <w:pStyle w:val="ListParagraph"/>
        <w:numPr>
          <w:ilvl w:val="0"/>
          <w:numId w:val="8"/>
        </w:numPr>
      </w:pPr>
      <w:r>
        <w:t>Implement logging and basic alerting infrastructure</w:t>
      </w:r>
    </w:p>
    <w:p w14:paraId="0BBE2FC9" w14:textId="1452BE91" w:rsidR="009A17D3" w:rsidRDefault="009A17D3" w:rsidP="00EC52ED">
      <w:pPr>
        <w:pStyle w:val="ListParagraph"/>
        <w:numPr>
          <w:ilvl w:val="0"/>
          <w:numId w:val="8"/>
        </w:numPr>
      </w:pPr>
      <w:r>
        <w:t>Deploy to pilot zone with side-by-side monitoring (non-blocking)</w:t>
      </w:r>
    </w:p>
    <w:p w14:paraId="1A3BFB3A" w14:textId="721B4BA6" w:rsidR="009A17D3" w:rsidRDefault="009A17D3" w:rsidP="00EC52ED">
      <w:pPr>
        <w:pStyle w:val="ListParagraph"/>
        <w:numPr>
          <w:ilvl w:val="0"/>
          <w:numId w:val="8"/>
        </w:numPr>
      </w:pPr>
      <w:r w:rsidRPr="00EC52ED">
        <w:rPr>
          <w:b/>
          <w:bCs/>
        </w:rPr>
        <w:t>Estimated cost: $1.2-1.5 million</w:t>
      </w:r>
      <w:r>
        <w:t xml:space="preserve"> (development + initial 500 baseline units)</w:t>
      </w:r>
    </w:p>
    <w:p w14:paraId="47CF74E1" w14:textId="1AA16275" w:rsidR="009A17D3" w:rsidRDefault="009A17D3" w:rsidP="00EC52ED">
      <w:pPr>
        <w:pStyle w:val="Heading4"/>
      </w:pPr>
      <w:r w:rsidRPr="009A17D3">
        <w:t>Phase</w:t>
      </w:r>
      <w:r>
        <w:t xml:space="preserve"> 2: Enhanced Capabilities (Weeks 13-24)</w:t>
      </w:r>
    </w:p>
    <w:p w14:paraId="7CC3C9E1" w14:textId="24751ED0" w:rsidR="009A17D3" w:rsidRDefault="009A17D3" w:rsidP="00EC52ED">
      <w:pPr>
        <w:pStyle w:val="ListParagraph"/>
        <w:numPr>
          <w:ilvl w:val="0"/>
          <w:numId w:val="9"/>
        </w:numPr>
      </w:pPr>
      <w:r>
        <w:t>Add protocol-specific inspection for primary ICS protocols</w:t>
      </w:r>
    </w:p>
    <w:p w14:paraId="7E24BD63" w14:textId="5A1B7FA3" w:rsidR="009A17D3" w:rsidRDefault="009A17D3" w:rsidP="00EC52ED">
      <w:pPr>
        <w:pStyle w:val="ListParagraph"/>
        <w:numPr>
          <w:ilvl w:val="0"/>
          <w:numId w:val="9"/>
        </w:numPr>
      </w:pPr>
      <w:r>
        <w:t>Develop custom rules based on observed traffic patterns</w:t>
      </w:r>
    </w:p>
    <w:p w14:paraId="62827A85" w14:textId="7BABD44A" w:rsidR="009A17D3" w:rsidRDefault="009A17D3" w:rsidP="00EC52ED">
      <w:pPr>
        <w:pStyle w:val="ListParagraph"/>
        <w:numPr>
          <w:ilvl w:val="0"/>
          <w:numId w:val="9"/>
        </w:numPr>
      </w:pPr>
      <w:r>
        <w:t>Implement automated response to common threat scenarios</w:t>
      </w:r>
    </w:p>
    <w:p w14:paraId="42A32E63" w14:textId="38F56469" w:rsidR="009A17D3" w:rsidRDefault="009A17D3" w:rsidP="00EC52ED">
      <w:pPr>
        <w:pStyle w:val="ListParagraph"/>
        <w:numPr>
          <w:ilvl w:val="0"/>
          <w:numId w:val="9"/>
        </w:numPr>
      </w:pPr>
      <w:r>
        <w:t>Expand deployment to additional zones in blocking mode</w:t>
      </w:r>
    </w:p>
    <w:p w14:paraId="09375F4A" w14:textId="42F60989" w:rsidR="009A17D3" w:rsidRDefault="009A17D3" w:rsidP="00EC52ED">
      <w:pPr>
        <w:pStyle w:val="ListParagraph"/>
        <w:numPr>
          <w:ilvl w:val="0"/>
          <w:numId w:val="18"/>
        </w:numPr>
      </w:pPr>
      <w:r w:rsidRPr="00EC52ED">
        <w:rPr>
          <w:b/>
          <w:bCs/>
        </w:rPr>
        <w:t>Estimated cost: $2.9-3.5 million</w:t>
      </w:r>
      <w:r>
        <w:t xml:space="preserve"> (continued development + 2,500 additional baseline units)</w:t>
      </w:r>
    </w:p>
    <w:p w14:paraId="79409520" w14:textId="54219D0A" w:rsidR="009A17D3" w:rsidRDefault="009A17D3" w:rsidP="00EC52ED">
      <w:pPr>
        <w:pStyle w:val="Heading4"/>
      </w:pPr>
      <w:r>
        <w:lastRenderedPageBreak/>
        <w:t xml:space="preserve">Phase 3: </w:t>
      </w:r>
      <w:r w:rsidRPr="009A17D3">
        <w:t>Optimization</w:t>
      </w:r>
      <w:r>
        <w:t xml:space="preserve"> and Scale (Weeks 25-36)</w:t>
      </w:r>
    </w:p>
    <w:p w14:paraId="3DA5E6FC" w14:textId="14492884" w:rsidR="009A17D3" w:rsidRDefault="009A17D3" w:rsidP="00EC52ED">
      <w:pPr>
        <w:pStyle w:val="ListParagraph"/>
        <w:numPr>
          <w:ilvl w:val="0"/>
          <w:numId w:val="10"/>
        </w:numPr>
      </w:pPr>
      <w:r>
        <w:t>Performance tuning based on production metrics</w:t>
      </w:r>
    </w:p>
    <w:p w14:paraId="209B1CDA" w14:textId="59EF5528" w:rsidR="009A17D3" w:rsidRDefault="009A17D3" w:rsidP="00EC52ED">
      <w:pPr>
        <w:pStyle w:val="ListParagraph"/>
        <w:numPr>
          <w:ilvl w:val="0"/>
          <w:numId w:val="10"/>
        </w:numPr>
      </w:pPr>
      <w:r>
        <w:t>Automation of routine management tasks</w:t>
      </w:r>
    </w:p>
    <w:p w14:paraId="79AE9FB9" w14:textId="574093AE" w:rsidR="009A17D3" w:rsidRDefault="009A17D3" w:rsidP="00EC52ED">
      <w:pPr>
        <w:pStyle w:val="ListParagraph"/>
        <w:numPr>
          <w:ilvl w:val="0"/>
          <w:numId w:val="10"/>
        </w:numPr>
      </w:pPr>
      <w:r>
        <w:t>Development of custom dashboards for OT security visibility</w:t>
      </w:r>
    </w:p>
    <w:p w14:paraId="3B3275D1" w14:textId="38978014" w:rsidR="009A17D3" w:rsidRDefault="009A17D3" w:rsidP="00EC52ED">
      <w:pPr>
        <w:pStyle w:val="ListParagraph"/>
        <w:numPr>
          <w:ilvl w:val="0"/>
          <w:numId w:val="10"/>
        </w:numPr>
      </w:pPr>
      <w:r>
        <w:t>Full production deployment with continuous improvement cycle</w:t>
      </w:r>
    </w:p>
    <w:p w14:paraId="19DEA546" w14:textId="6E221B82" w:rsidR="009A17D3" w:rsidRDefault="009A17D3" w:rsidP="00EC52ED">
      <w:pPr>
        <w:pStyle w:val="ListParagraph"/>
        <w:numPr>
          <w:ilvl w:val="0"/>
          <w:numId w:val="10"/>
        </w:numPr>
      </w:pPr>
      <w:r w:rsidRPr="00EC52ED">
        <w:rPr>
          <w:b/>
          <w:bCs/>
        </w:rPr>
        <w:t>Estimated cost: $3.5-4.8 million</w:t>
      </w:r>
      <w:r>
        <w:t xml:space="preserve"> (7,000 additional baseline units)</w:t>
      </w:r>
    </w:p>
    <w:p w14:paraId="31F189B3" w14:textId="214353B1" w:rsidR="009A17D3" w:rsidRDefault="009A17D3" w:rsidP="00EC52ED">
      <w:pPr>
        <w:pStyle w:val="Heading4"/>
      </w:pPr>
      <w:r>
        <w:t>Phase 4: Advanced Features (Weeks 37+)</w:t>
      </w:r>
    </w:p>
    <w:p w14:paraId="1A3C6727" w14:textId="67954DB3" w:rsidR="009A17D3" w:rsidRDefault="009A17D3" w:rsidP="00EC52ED">
      <w:pPr>
        <w:pStyle w:val="ListParagraph"/>
        <w:numPr>
          <w:ilvl w:val="0"/>
          <w:numId w:val="11"/>
        </w:numPr>
      </w:pPr>
      <w:r>
        <w:t>Integration with threat intelligence feeds</w:t>
      </w:r>
    </w:p>
    <w:p w14:paraId="1A4E15D1" w14:textId="05176596" w:rsidR="009A17D3" w:rsidRDefault="009A17D3" w:rsidP="00EC52ED">
      <w:pPr>
        <w:pStyle w:val="ListParagraph"/>
        <w:numPr>
          <w:ilvl w:val="0"/>
          <w:numId w:val="11"/>
        </w:numPr>
      </w:pPr>
      <w:r>
        <w:t>Development of anomaly detection capabilities</w:t>
      </w:r>
    </w:p>
    <w:p w14:paraId="40A7B3D0" w14:textId="2A7BDD9A" w:rsidR="009A17D3" w:rsidRDefault="009A17D3" w:rsidP="00EC52ED">
      <w:pPr>
        <w:pStyle w:val="ListParagraph"/>
        <w:numPr>
          <w:ilvl w:val="0"/>
          <w:numId w:val="11"/>
        </w:numPr>
      </w:pPr>
      <w:r>
        <w:t>Implementation of advanced behavioral analytics</w:t>
      </w:r>
    </w:p>
    <w:p w14:paraId="7CAA17F0" w14:textId="129379EB" w:rsidR="009A17D3" w:rsidRDefault="009A17D3" w:rsidP="00EC52ED">
      <w:pPr>
        <w:pStyle w:val="ListParagraph"/>
        <w:numPr>
          <w:ilvl w:val="0"/>
          <w:numId w:val="11"/>
        </w:numPr>
      </w:pPr>
      <w:r>
        <w:t>Capacity expansion based on actual utilization metrics</w:t>
      </w:r>
    </w:p>
    <w:p w14:paraId="2465492D" w14:textId="5C76876F" w:rsidR="009A17D3" w:rsidRDefault="009A17D3" w:rsidP="00EC52ED">
      <w:pPr>
        <w:pStyle w:val="ListParagraph"/>
        <w:numPr>
          <w:ilvl w:val="0"/>
          <w:numId w:val="11"/>
        </w:numPr>
      </w:pPr>
      <w:r w:rsidRPr="00EC52ED">
        <w:rPr>
          <w:b/>
          <w:bCs/>
        </w:rPr>
        <w:t>Estimated cost: $2.5-3.5 million</w:t>
      </w:r>
      <w:r>
        <w:t xml:space="preserve"> (5,000 advanced units for critical zones)</w:t>
      </w:r>
    </w:p>
    <w:p w14:paraId="27FD30D7" w14:textId="3C10A9A7" w:rsidR="009A17D3" w:rsidRDefault="009A17D3" w:rsidP="00EC52ED">
      <w:pPr>
        <w:pStyle w:val="Heading3"/>
      </w:pPr>
      <w:r>
        <w:t>Risk Assessment and Mitigation</w:t>
      </w:r>
    </w:p>
    <w:p w14:paraId="4A6B53F4" w14:textId="0FFCA985" w:rsidR="009A17D3" w:rsidRDefault="009A17D3" w:rsidP="00EC52ED">
      <w:pPr>
        <w:pStyle w:val="Heading4"/>
      </w:pPr>
      <w:r>
        <w:t xml:space="preserve">Build </w:t>
      </w:r>
      <w:r w:rsidRPr="009A17D3">
        <w:t>Approach</w:t>
      </w:r>
      <w:r>
        <w:t xml:space="preserve"> Risks</w:t>
      </w:r>
    </w:p>
    <w:tbl>
      <w:tblPr>
        <w:tblStyle w:val="TableGrid"/>
        <w:tblW w:w="0" w:type="auto"/>
        <w:tblLook w:val="04A0" w:firstRow="1" w:lastRow="0" w:firstColumn="1" w:lastColumn="0" w:noHBand="0" w:noVBand="1"/>
      </w:tblPr>
      <w:tblGrid>
        <w:gridCol w:w="2065"/>
        <w:gridCol w:w="7285"/>
      </w:tblGrid>
      <w:tr w:rsidR="007D5B9B" w14:paraId="47F40DF3" w14:textId="77777777" w:rsidTr="00EC52ED">
        <w:tc>
          <w:tcPr>
            <w:tcW w:w="2065" w:type="dxa"/>
          </w:tcPr>
          <w:p w14:paraId="154EE896" w14:textId="41E5B49B" w:rsidR="007D5B9B" w:rsidRPr="00EC52ED" w:rsidRDefault="007D5B9B" w:rsidP="009A17D3">
            <w:pPr>
              <w:rPr>
                <w:b/>
                <w:bCs/>
                <w:sz w:val="20"/>
                <w:szCs w:val="20"/>
              </w:rPr>
            </w:pPr>
            <w:r w:rsidRPr="00EC52ED">
              <w:rPr>
                <w:b/>
                <w:bCs/>
                <w:sz w:val="20"/>
                <w:szCs w:val="20"/>
              </w:rPr>
              <w:t>Risk</w:t>
            </w:r>
          </w:p>
        </w:tc>
        <w:tc>
          <w:tcPr>
            <w:tcW w:w="7285" w:type="dxa"/>
          </w:tcPr>
          <w:p w14:paraId="0F3D9118" w14:textId="77EB78DC" w:rsidR="007D5B9B" w:rsidRPr="00EC52ED" w:rsidRDefault="007D5B9B" w:rsidP="009A17D3">
            <w:pPr>
              <w:rPr>
                <w:b/>
                <w:bCs/>
                <w:sz w:val="20"/>
                <w:szCs w:val="20"/>
              </w:rPr>
            </w:pPr>
            <w:r w:rsidRPr="00EC52ED">
              <w:rPr>
                <w:b/>
                <w:bCs/>
                <w:sz w:val="20"/>
                <w:szCs w:val="20"/>
              </w:rPr>
              <w:t>Mitigation Strategy</w:t>
            </w:r>
          </w:p>
        </w:tc>
      </w:tr>
      <w:tr w:rsidR="007D5B9B" w14:paraId="2668F1BF" w14:textId="77777777" w:rsidTr="00EC52ED">
        <w:tc>
          <w:tcPr>
            <w:tcW w:w="2065" w:type="dxa"/>
          </w:tcPr>
          <w:p w14:paraId="78C80102" w14:textId="5CCCB5A7" w:rsidR="007D5B9B" w:rsidRPr="00EC52ED" w:rsidRDefault="007D5B9B" w:rsidP="009A17D3">
            <w:pPr>
              <w:rPr>
                <w:b/>
                <w:bCs/>
                <w:sz w:val="20"/>
                <w:szCs w:val="20"/>
              </w:rPr>
            </w:pPr>
            <w:r w:rsidRPr="00EC52ED">
              <w:rPr>
                <w:b/>
                <w:bCs/>
                <w:sz w:val="20"/>
                <w:szCs w:val="20"/>
              </w:rPr>
              <w:t>Inadequate Feature Development</w:t>
            </w:r>
          </w:p>
        </w:tc>
        <w:tc>
          <w:tcPr>
            <w:tcW w:w="7285" w:type="dxa"/>
          </w:tcPr>
          <w:p w14:paraId="2BDBB2D9" w14:textId="1E4BBF4F" w:rsidR="007D5B9B" w:rsidRPr="00EC52ED" w:rsidRDefault="007D5B9B" w:rsidP="009A17D3">
            <w:pPr>
              <w:rPr>
                <w:sz w:val="20"/>
                <w:szCs w:val="20"/>
              </w:rPr>
            </w:pPr>
            <w:r w:rsidRPr="00EC52ED">
              <w:rPr>
                <w:sz w:val="20"/>
                <w:szCs w:val="20"/>
              </w:rPr>
              <w:t>Start with critical protections and use agile development methods to rapidly address gaps; allocate $500,000 contingency budget for additional developers if needed</w:t>
            </w:r>
          </w:p>
        </w:tc>
      </w:tr>
      <w:tr w:rsidR="007D5B9B" w14:paraId="698CE8E9" w14:textId="77777777" w:rsidTr="00EC52ED">
        <w:tc>
          <w:tcPr>
            <w:tcW w:w="2065" w:type="dxa"/>
          </w:tcPr>
          <w:p w14:paraId="230EE7BB" w14:textId="59AEE30D" w:rsidR="007D5B9B" w:rsidRPr="00EC52ED" w:rsidRDefault="007D5B9B" w:rsidP="009A17D3">
            <w:pPr>
              <w:rPr>
                <w:b/>
                <w:bCs/>
                <w:sz w:val="20"/>
                <w:szCs w:val="20"/>
              </w:rPr>
            </w:pPr>
            <w:r w:rsidRPr="00EC52ED">
              <w:rPr>
                <w:b/>
                <w:bCs/>
                <w:sz w:val="20"/>
                <w:szCs w:val="20"/>
              </w:rPr>
              <w:t>Team Knowledge Gaps</w:t>
            </w:r>
          </w:p>
        </w:tc>
        <w:tc>
          <w:tcPr>
            <w:tcW w:w="7285" w:type="dxa"/>
          </w:tcPr>
          <w:p w14:paraId="0DDCC562" w14:textId="7D9EA8FC" w:rsidR="007D5B9B" w:rsidRPr="00EC52ED" w:rsidRDefault="007D5B9B" w:rsidP="009A17D3">
            <w:pPr>
              <w:rPr>
                <w:sz w:val="20"/>
                <w:szCs w:val="20"/>
              </w:rPr>
            </w:pPr>
            <w:r w:rsidRPr="00EC52ED">
              <w:rPr>
                <w:sz w:val="20"/>
                <w:szCs w:val="20"/>
              </w:rPr>
              <w:t>Partner with Linux security specialists for initial development ($150,000-250,000 consulting budget); implement knowledge transfer program</w:t>
            </w:r>
          </w:p>
        </w:tc>
      </w:tr>
      <w:tr w:rsidR="007D5B9B" w14:paraId="35AEF1C8" w14:textId="77777777" w:rsidTr="00EC52ED">
        <w:tc>
          <w:tcPr>
            <w:tcW w:w="2065" w:type="dxa"/>
          </w:tcPr>
          <w:p w14:paraId="5DD02835" w14:textId="0925C585" w:rsidR="007D5B9B" w:rsidRPr="00EC52ED" w:rsidRDefault="007D5B9B" w:rsidP="009A17D3">
            <w:pPr>
              <w:rPr>
                <w:b/>
                <w:bCs/>
                <w:sz w:val="20"/>
                <w:szCs w:val="20"/>
              </w:rPr>
            </w:pPr>
            <w:r w:rsidRPr="00EC52ED">
              <w:rPr>
                <w:b/>
                <w:bCs/>
                <w:sz w:val="20"/>
                <w:szCs w:val="20"/>
              </w:rPr>
              <w:t>Development Delays</w:t>
            </w:r>
          </w:p>
        </w:tc>
        <w:tc>
          <w:tcPr>
            <w:tcW w:w="7285" w:type="dxa"/>
          </w:tcPr>
          <w:p w14:paraId="15A352DF" w14:textId="060C7A0C" w:rsidR="007D5B9B" w:rsidRPr="00EC52ED" w:rsidRDefault="007D5B9B" w:rsidP="009A17D3">
            <w:pPr>
              <w:rPr>
                <w:sz w:val="20"/>
                <w:szCs w:val="20"/>
              </w:rPr>
            </w:pPr>
            <w:r w:rsidRPr="00EC52ED">
              <w:rPr>
                <w:sz w:val="20"/>
                <w:szCs w:val="20"/>
              </w:rPr>
              <w:t>Use time-boxed sprints with clear priorities; maintain option to deploy commercial solution in critical areas if necessary (budget for 500 commercial units as contingency)</w:t>
            </w:r>
          </w:p>
        </w:tc>
      </w:tr>
      <w:tr w:rsidR="007D5B9B" w14:paraId="1C374730" w14:textId="77777777" w:rsidTr="00EC52ED">
        <w:tc>
          <w:tcPr>
            <w:tcW w:w="2065" w:type="dxa"/>
          </w:tcPr>
          <w:p w14:paraId="137E450C" w14:textId="6BF7DD8B" w:rsidR="007D5B9B" w:rsidRPr="00EC52ED" w:rsidRDefault="007D5B9B" w:rsidP="009A17D3">
            <w:pPr>
              <w:rPr>
                <w:b/>
                <w:bCs/>
                <w:sz w:val="20"/>
                <w:szCs w:val="20"/>
              </w:rPr>
            </w:pPr>
            <w:r w:rsidRPr="00EC52ED">
              <w:rPr>
                <w:b/>
                <w:bCs/>
                <w:sz w:val="20"/>
                <w:szCs w:val="20"/>
              </w:rPr>
              <w:t>Maintenance Burden</w:t>
            </w:r>
          </w:p>
        </w:tc>
        <w:tc>
          <w:tcPr>
            <w:tcW w:w="7285" w:type="dxa"/>
          </w:tcPr>
          <w:p w14:paraId="6E2BAA75" w14:textId="58348EE5" w:rsidR="007D5B9B" w:rsidRPr="00EC52ED" w:rsidRDefault="007D5B9B" w:rsidP="009A17D3">
            <w:pPr>
              <w:rPr>
                <w:b/>
                <w:bCs/>
                <w:sz w:val="20"/>
                <w:szCs w:val="20"/>
              </w:rPr>
            </w:pPr>
            <w:r w:rsidRPr="00EC52ED">
              <w:rPr>
                <w:sz w:val="20"/>
                <w:szCs w:val="20"/>
              </w:rPr>
              <w:t>Design for maintainability with thorough documentation; automate routine maintenance tasks; budget for appropriate maintenance team (5-8 dedicated engineers)</w:t>
            </w:r>
          </w:p>
        </w:tc>
      </w:tr>
      <w:tr w:rsidR="007D5B9B" w14:paraId="09CB5F9C" w14:textId="77777777" w:rsidTr="00EC52ED">
        <w:tc>
          <w:tcPr>
            <w:tcW w:w="2065" w:type="dxa"/>
          </w:tcPr>
          <w:p w14:paraId="0FB2B982" w14:textId="5E88E542" w:rsidR="007D5B9B" w:rsidRPr="00EC52ED" w:rsidRDefault="007D5B9B" w:rsidP="009A17D3">
            <w:pPr>
              <w:rPr>
                <w:b/>
                <w:bCs/>
                <w:sz w:val="20"/>
                <w:szCs w:val="20"/>
              </w:rPr>
            </w:pPr>
            <w:r w:rsidRPr="00EC52ED">
              <w:rPr>
                <w:b/>
                <w:bCs/>
                <w:sz w:val="20"/>
                <w:szCs w:val="20"/>
              </w:rPr>
              <w:t>Staffing Changes</w:t>
            </w:r>
          </w:p>
        </w:tc>
        <w:tc>
          <w:tcPr>
            <w:tcW w:w="7285" w:type="dxa"/>
          </w:tcPr>
          <w:p w14:paraId="56836520" w14:textId="2BD1C39A" w:rsidR="007D5B9B" w:rsidRPr="00EC52ED" w:rsidRDefault="007D5B9B" w:rsidP="009A17D3">
            <w:pPr>
              <w:rPr>
                <w:b/>
                <w:bCs/>
                <w:sz w:val="20"/>
                <w:szCs w:val="20"/>
              </w:rPr>
            </w:pPr>
            <w:proofErr w:type="gramStart"/>
            <w:r w:rsidRPr="00EC52ED">
              <w:rPr>
                <w:sz w:val="20"/>
                <w:szCs w:val="20"/>
              </w:rPr>
              <w:t>Cross-train</w:t>
            </w:r>
            <w:proofErr w:type="gramEnd"/>
            <w:r w:rsidRPr="00EC52ED">
              <w:rPr>
                <w:sz w:val="20"/>
                <w:szCs w:val="20"/>
              </w:rPr>
              <w:t xml:space="preserve"> multiple team members; document extensively; use standard development practices; implement retention incentives for key personnel</w:t>
            </w:r>
          </w:p>
        </w:tc>
      </w:tr>
    </w:tbl>
    <w:p w14:paraId="024DFD7A" w14:textId="74A1E350" w:rsidR="009A17D3" w:rsidRDefault="009A17D3" w:rsidP="00EC52ED">
      <w:pPr>
        <w:pStyle w:val="Heading4"/>
      </w:pPr>
      <w:r>
        <w:t xml:space="preserve">Buy </w:t>
      </w:r>
      <w:r w:rsidRPr="009A17D3">
        <w:t>Approach</w:t>
      </w:r>
      <w:r>
        <w:t xml:space="preserve"> Risks</w:t>
      </w:r>
    </w:p>
    <w:tbl>
      <w:tblPr>
        <w:tblStyle w:val="TableGrid"/>
        <w:tblW w:w="0" w:type="auto"/>
        <w:tblLook w:val="04A0" w:firstRow="1" w:lastRow="0" w:firstColumn="1" w:lastColumn="0" w:noHBand="0" w:noVBand="1"/>
      </w:tblPr>
      <w:tblGrid>
        <w:gridCol w:w="2065"/>
        <w:gridCol w:w="7285"/>
      </w:tblGrid>
      <w:tr w:rsidR="00EC52ED" w14:paraId="7CF212EF" w14:textId="77777777" w:rsidTr="00EC52ED">
        <w:tc>
          <w:tcPr>
            <w:tcW w:w="2065" w:type="dxa"/>
          </w:tcPr>
          <w:p w14:paraId="662B544E" w14:textId="18630098" w:rsidR="00EC52ED" w:rsidRPr="00EC52ED" w:rsidRDefault="00EC52ED" w:rsidP="009A17D3">
            <w:pPr>
              <w:rPr>
                <w:b/>
                <w:bCs/>
                <w:sz w:val="20"/>
                <w:szCs w:val="20"/>
              </w:rPr>
            </w:pPr>
            <w:r w:rsidRPr="00EC52ED">
              <w:rPr>
                <w:b/>
                <w:bCs/>
                <w:sz w:val="20"/>
                <w:szCs w:val="20"/>
              </w:rPr>
              <w:t>Risk</w:t>
            </w:r>
          </w:p>
        </w:tc>
        <w:tc>
          <w:tcPr>
            <w:tcW w:w="7285" w:type="dxa"/>
          </w:tcPr>
          <w:p w14:paraId="274E2BC6" w14:textId="189BA7AF" w:rsidR="00EC52ED" w:rsidRPr="00EC52ED" w:rsidRDefault="00EC52ED" w:rsidP="009A17D3">
            <w:pPr>
              <w:rPr>
                <w:b/>
                <w:bCs/>
                <w:sz w:val="20"/>
                <w:szCs w:val="20"/>
              </w:rPr>
            </w:pPr>
            <w:r w:rsidRPr="00EC52ED">
              <w:rPr>
                <w:b/>
                <w:bCs/>
                <w:sz w:val="20"/>
                <w:szCs w:val="20"/>
              </w:rPr>
              <w:t>Mitigation Strategy</w:t>
            </w:r>
          </w:p>
        </w:tc>
      </w:tr>
      <w:tr w:rsidR="00EC52ED" w14:paraId="6D0E4B43" w14:textId="77777777" w:rsidTr="00EC52ED">
        <w:tc>
          <w:tcPr>
            <w:tcW w:w="2065" w:type="dxa"/>
          </w:tcPr>
          <w:p w14:paraId="6DCD4A04" w14:textId="481A06CF" w:rsidR="00EC52ED" w:rsidRPr="00EC52ED" w:rsidRDefault="00EC52ED" w:rsidP="009A17D3">
            <w:pPr>
              <w:rPr>
                <w:b/>
                <w:bCs/>
                <w:sz w:val="20"/>
                <w:szCs w:val="20"/>
              </w:rPr>
            </w:pPr>
            <w:r w:rsidRPr="00EC52ED">
              <w:rPr>
                <w:b/>
                <w:bCs/>
                <w:sz w:val="20"/>
                <w:szCs w:val="20"/>
              </w:rPr>
              <w:t>Excessive Complexity</w:t>
            </w:r>
          </w:p>
        </w:tc>
        <w:tc>
          <w:tcPr>
            <w:tcW w:w="7285" w:type="dxa"/>
          </w:tcPr>
          <w:p w14:paraId="779D6A92" w14:textId="56890AD6" w:rsidR="00EC52ED" w:rsidRPr="00EC52ED" w:rsidRDefault="00EC52ED" w:rsidP="009A17D3">
            <w:pPr>
              <w:rPr>
                <w:sz w:val="20"/>
                <w:szCs w:val="20"/>
              </w:rPr>
            </w:pPr>
            <w:r w:rsidRPr="00EC52ED">
              <w:rPr>
                <w:sz w:val="20"/>
                <w:szCs w:val="20"/>
              </w:rPr>
              <w:t>Rigorous feature evaluation to enable only necessary capabilities</w:t>
            </w:r>
          </w:p>
        </w:tc>
      </w:tr>
      <w:tr w:rsidR="00EC52ED" w14:paraId="37FCA4B0" w14:textId="77777777" w:rsidTr="00EC52ED">
        <w:tc>
          <w:tcPr>
            <w:tcW w:w="2065" w:type="dxa"/>
          </w:tcPr>
          <w:p w14:paraId="586A3CA7" w14:textId="27DDDCF4" w:rsidR="00EC52ED" w:rsidRPr="00EC52ED" w:rsidRDefault="00EC52ED" w:rsidP="009A17D3">
            <w:pPr>
              <w:rPr>
                <w:b/>
                <w:bCs/>
                <w:sz w:val="20"/>
                <w:szCs w:val="20"/>
              </w:rPr>
            </w:pPr>
            <w:r w:rsidRPr="00EC52ED">
              <w:rPr>
                <w:b/>
                <w:bCs/>
                <w:sz w:val="20"/>
                <w:szCs w:val="20"/>
              </w:rPr>
              <w:t>Vendor Lock-in</w:t>
            </w:r>
          </w:p>
        </w:tc>
        <w:tc>
          <w:tcPr>
            <w:tcW w:w="7285" w:type="dxa"/>
          </w:tcPr>
          <w:p w14:paraId="7EA5C17C" w14:textId="577DA9FB" w:rsidR="00EC52ED" w:rsidRPr="00EC52ED" w:rsidRDefault="00EC52ED" w:rsidP="009A17D3">
            <w:pPr>
              <w:rPr>
                <w:sz w:val="20"/>
                <w:szCs w:val="20"/>
              </w:rPr>
            </w:pPr>
            <w:r w:rsidRPr="00EC52ED">
              <w:rPr>
                <w:sz w:val="20"/>
                <w:szCs w:val="20"/>
              </w:rPr>
              <w:t>Negotiate favorable contract terms; develop exit strategy</w:t>
            </w:r>
          </w:p>
        </w:tc>
      </w:tr>
      <w:tr w:rsidR="00EC52ED" w14:paraId="6F2A0226" w14:textId="77777777" w:rsidTr="00EC52ED">
        <w:tc>
          <w:tcPr>
            <w:tcW w:w="2065" w:type="dxa"/>
          </w:tcPr>
          <w:p w14:paraId="7246CA54" w14:textId="411895FC" w:rsidR="00EC52ED" w:rsidRPr="00EC52ED" w:rsidRDefault="00EC52ED" w:rsidP="009A17D3">
            <w:pPr>
              <w:rPr>
                <w:b/>
                <w:bCs/>
                <w:sz w:val="20"/>
                <w:szCs w:val="20"/>
              </w:rPr>
            </w:pPr>
            <w:r w:rsidRPr="00EC52ED">
              <w:rPr>
                <w:b/>
                <w:bCs/>
                <w:sz w:val="20"/>
                <w:szCs w:val="20"/>
              </w:rPr>
              <w:t>Compatibility Issues</w:t>
            </w:r>
          </w:p>
        </w:tc>
        <w:tc>
          <w:tcPr>
            <w:tcW w:w="7285" w:type="dxa"/>
          </w:tcPr>
          <w:p w14:paraId="20CCE2EB" w14:textId="77DA9A8E" w:rsidR="00EC52ED" w:rsidRPr="00EC52ED" w:rsidRDefault="00EC52ED" w:rsidP="009A17D3">
            <w:pPr>
              <w:rPr>
                <w:sz w:val="20"/>
                <w:szCs w:val="20"/>
              </w:rPr>
            </w:pPr>
            <w:r w:rsidRPr="00EC52ED">
              <w:rPr>
                <w:sz w:val="20"/>
                <w:szCs w:val="20"/>
              </w:rPr>
              <w:t>Extensive pre-purchase testing in lab environment</w:t>
            </w:r>
          </w:p>
        </w:tc>
      </w:tr>
      <w:tr w:rsidR="00EC52ED" w14:paraId="09E8948B" w14:textId="77777777" w:rsidTr="00EC52ED">
        <w:tc>
          <w:tcPr>
            <w:tcW w:w="2065" w:type="dxa"/>
          </w:tcPr>
          <w:p w14:paraId="39A14F29" w14:textId="41127A57" w:rsidR="00EC52ED" w:rsidRPr="00EC52ED" w:rsidRDefault="00EC52ED" w:rsidP="009A17D3">
            <w:pPr>
              <w:rPr>
                <w:b/>
                <w:bCs/>
                <w:sz w:val="20"/>
                <w:szCs w:val="20"/>
              </w:rPr>
            </w:pPr>
            <w:r w:rsidRPr="00EC52ED">
              <w:rPr>
                <w:b/>
                <w:bCs/>
                <w:sz w:val="20"/>
                <w:szCs w:val="20"/>
              </w:rPr>
              <w:t>Cost Escalation</w:t>
            </w:r>
          </w:p>
        </w:tc>
        <w:tc>
          <w:tcPr>
            <w:tcW w:w="7285" w:type="dxa"/>
          </w:tcPr>
          <w:p w14:paraId="7C66AC2F" w14:textId="778FF2B6" w:rsidR="00EC52ED" w:rsidRPr="00EC52ED" w:rsidRDefault="00EC52ED" w:rsidP="009A17D3">
            <w:pPr>
              <w:rPr>
                <w:sz w:val="20"/>
                <w:szCs w:val="20"/>
              </w:rPr>
            </w:pPr>
            <w:r w:rsidRPr="00EC52ED">
              <w:rPr>
                <w:sz w:val="20"/>
                <w:szCs w:val="20"/>
              </w:rPr>
              <w:t>Careful TCO analysis including hidden costs; fixed-price agreements</w:t>
            </w:r>
          </w:p>
        </w:tc>
      </w:tr>
      <w:tr w:rsidR="00EC52ED" w14:paraId="4CAFCBE0" w14:textId="77777777" w:rsidTr="00EC52ED">
        <w:tc>
          <w:tcPr>
            <w:tcW w:w="2065" w:type="dxa"/>
          </w:tcPr>
          <w:p w14:paraId="3A974993" w14:textId="0116CF44" w:rsidR="00EC52ED" w:rsidRPr="00EC52ED" w:rsidRDefault="00EC52ED" w:rsidP="009A17D3">
            <w:pPr>
              <w:rPr>
                <w:b/>
                <w:bCs/>
                <w:sz w:val="20"/>
                <w:szCs w:val="20"/>
              </w:rPr>
            </w:pPr>
            <w:r w:rsidRPr="00EC52ED">
              <w:rPr>
                <w:b/>
                <w:bCs/>
                <w:sz w:val="20"/>
                <w:szCs w:val="20"/>
              </w:rPr>
              <w:t>Cultural Misalignment</w:t>
            </w:r>
          </w:p>
        </w:tc>
        <w:tc>
          <w:tcPr>
            <w:tcW w:w="7285" w:type="dxa"/>
          </w:tcPr>
          <w:p w14:paraId="58EE6544" w14:textId="4FF364D0" w:rsidR="00EC52ED" w:rsidRPr="00EC52ED" w:rsidRDefault="00EC52ED" w:rsidP="009A17D3">
            <w:pPr>
              <w:rPr>
                <w:sz w:val="20"/>
                <w:szCs w:val="20"/>
              </w:rPr>
            </w:pPr>
            <w:r w:rsidRPr="00EC52ED">
              <w:rPr>
                <w:sz w:val="20"/>
                <w:szCs w:val="20"/>
              </w:rPr>
              <w:t>Internal messaging emphasizing strategic vendor partnerships</w:t>
            </w:r>
          </w:p>
        </w:tc>
      </w:tr>
      <w:tr w:rsidR="00EC52ED" w14:paraId="3EDCEA62" w14:textId="77777777" w:rsidTr="00EC52ED">
        <w:tc>
          <w:tcPr>
            <w:tcW w:w="2065" w:type="dxa"/>
          </w:tcPr>
          <w:p w14:paraId="6A85E588" w14:textId="5D3BE27E" w:rsidR="00EC52ED" w:rsidRPr="00EC52ED" w:rsidRDefault="00EC52ED" w:rsidP="009A17D3">
            <w:pPr>
              <w:rPr>
                <w:b/>
                <w:bCs/>
                <w:sz w:val="20"/>
                <w:szCs w:val="20"/>
              </w:rPr>
            </w:pPr>
            <w:r w:rsidRPr="00EC52ED">
              <w:rPr>
                <w:b/>
                <w:bCs/>
                <w:sz w:val="20"/>
                <w:szCs w:val="20"/>
              </w:rPr>
              <w:t>Budget Overruns</w:t>
            </w:r>
          </w:p>
        </w:tc>
        <w:tc>
          <w:tcPr>
            <w:tcW w:w="7285" w:type="dxa"/>
          </w:tcPr>
          <w:p w14:paraId="2DC377EF" w14:textId="6B189CC9" w:rsidR="00EC52ED" w:rsidRPr="00EC52ED" w:rsidRDefault="00EC52ED" w:rsidP="009A17D3">
            <w:pPr>
              <w:rPr>
                <w:sz w:val="20"/>
                <w:szCs w:val="20"/>
              </w:rPr>
            </w:pPr>
            <w:r w:rsidRPr="00EC52ED">
              <w:rPr>
                <w:sz w:val="20"/>
                <w:szCs w:val="20"/>
              </w:rPr>
              <w:t>The $40-55.5 million cost difference creates significant financial risk with limited mitigation options</w:t>
            </w:r>
          </w:p>
        </w:tc>
      </w:tr>
    </w:tbl>
    <w:p w14:paraId="6846B520" w14:textId="26A7205A" w:rsidR="009A17D3" w:rsidRDefault="009A17D3" w:rsidP="00EC52ED">
      <w:pPr>
        <w:pStyle w:val="Heading3"/>
      </w:pPr>
      <w:r>
        <w:lastRenderedPageBreak/>
        <w:t>Team Alignment Recommendations</w:t>
      </w:r>
    </w:p>
    <w:p w14:paraId="31D67F1B" w14:textId="77777777" w:rsidR="009A17D3" w:rsidRDefault="009A17D3" w:rsidP="009A17D3">
      <w:r>
        <w:t>The current team dynamic reflects a common pattern when transitioning from traditional security models to more innovative approaches. We recommend:</w:t>
      </w:r>
    </w:p>
    <w:p w14:paraId="2C6E8847" w14:textId="6E1C3C17" w:rsidR="009A17D3" w:rsidRDefault="009A17D3" w:rsidP="00EC52ED">
      <w:pPr>
        <w:pStyle w:val="ListParagraph"/>
        <w:numPr>
          <w:ilvl w:val="0"/>
          <w:numId w:val="12"/>
        </w:numPr>
      </w:pPr>
      <w:r w:rsidRPr="00EC52ED">
        <w:rPr>
          <w:b/>
          <w:bCs/>
        </w:rPr>
        <w:t>Financial Transparency Workshop</w:t>
      </w:r>
      <w:r>
        <w:t>: Present detailed TCO analysis showing the dramatic cost difference between approaches</w:t>
      </w:r>
    </w:p>
    <w:p w14:paraId="276ED05B" w14:textId="718F08DA" w:rsidR="009A17D3" w:rsidRDefault="009A17D3" w:rsidP="00EC52ED">
      <w:pPr>
        <w:pStyle w:val="ListParagraph"/>
        <w:numPr>
          <w:ilvl w:val="0"/>
          <w:numId w:val="12"/>
        </w:numPr>
      </w:pPr>
      <w:r w:rsidRPr="00EC52ED">
        <w:rPr>
          <w:b/>
          <w:bCs/>
        </w:rPr>
        <w:t>Joint Design Workshop</w:t>
      </w:r>
      <w:r>
        <w:t>: Conduct a facilitated 2-day session where both approaches are mapped against actual requirements</w:t>
      </w:r>
    </w:p>
    <w:p w14:paraId="613BEE40" w14:textId="30A36130" w:rsidR="009A17D3" w:rsidRDefault="009A17D3" w:rsidP="00EC52ED">
      <w:pPr>
        <w:pStyle w:val="ListParagraph"/>
        <w:numPr>
          <w:ilvl w:val="0"/>
          <w:numId w:val="12"/>
        </w:numPr>
      </w:pPr>
      <w:r w:rsidRPr="00EC52ED">
        <w:rPr>
          <w:b/>
          <w:bCs/>
        </w:rPr>
        <w:t>Proof of Concept Competition</w:t>
      </w:r>
      <w:r>
        <w:t>: Create small teams to demonstrate both approaches in a lab environment</w:t>
      </w:r>
    </w:p>
    <w:p w14:paraId="532FFA1F" w14:textId="2C8CAD3B" w:rsidR="009A17D3" w:rsidRDefault="009A17D3" w:rsidP="00EC52ED">
      <w:pPr>
        <w:pStyle w:val="ListParagraph"/>
        <w:numPr>
          <w:ilvl w:val="0"/>
          <w:numId w:val="12"/>
        </w:numPr>
      </w:pPr>
      <w:r w:rsidRPr="00EC52ED">
        <w:rPr>
          <w:b/>
          <w:bCs/>
        </w:rPr>
        <w:t>Shared Evaluation Framework</w:t>
      </w:r>
      <w:r>
        <w:t>: Develop objective criteria collaboratively that both solutions must meet</w:t>
      </w:r>
    </w:p>
    <w:p w14:paraId="729B4E2D" w14:textId="2D0E26C4" w:rsidR="009A17D3" w:rsidRDefault="009A17D3" w:rsidP="00EC52ED">
      <w:pPr>
        <w:pStyle w:val="ListParagraph"/>
        <w:numPr>
          <w:ilvl w:val="0"/>
          <w:numId w:val="12"/>
        </w:numPr>
      </w:pPr>
      <w:r w:rsidRPr="00EC52ED">
        <w:rPr>
          <w:b/>
          <w:bCs/>
        </w:rPr>
        <w:t>Skills Investment Program</w:t>
      </w:r>
      <w:r>
        <w:t>: Create learning paths for team members to develop skills needed for the build approach</w:t>
      </w:r>
    </w:p>
    <w:p w14:paraId="4B130929" w14:textId="175EF41D" w:rsidR="009A17D3" w:rsidRDefault="009A17D3" w:rsidP="00EC52ED">
      <w:pPr>
        <w:pStyle w:val="ListParagraph"/>
        <w:numPr>
          <w:ilvl w:val="0"/>
          <w:numId w:val="12"/>
        </w:numPr>
      </w:pPr>
      <w:r w:rsidRPr="00EC52ED">
        <w:rPr>
          <w:b/>
          <w:bCs/>
        </w:rPr>
        <w:t>Recognition Structure</w:t>
      </w:r>
      <w:r>
        <w:t>: Implement rewards for innovation and creative problem-solving</w:t>
      </w:r>
    </w:p>
    <w:p w14:paraId="34534AA1" w14:textId="4EF983FE" w:rsidR="009A17D3" w:rsidRDefault="009A17D3" w:rsidP="00EC52ED">
      <w:pPr>
        <w:pStyle w:val="ListParagraph"/>
        <w:numPr>
          <w:ilvl w:val="0"/>
          <w:numId w:val="12"/>
        </w:numPr>
      </w:pPr>
      <w:r w:rsidRPr="00EC52ED">
        <w:rPr>
          <w:b/>
          <w:bCs/>
        </w:rPr>
        <w:t>Clear Decision Authority</w:t>
      </w:r>
      <w:r>
        <w:t>: Establish transparent process for resolving technical disagreements</w:t>
      </w:r>
    </w:p>
    <w:p w14:paraId="3AC8956D" w14:textId="03B68305" w:rsidR="009A17D3" w:rsidRDefault="009A17D3" w:rsidP="00EC52ED">
      <w:pPr>
        <w:pStyle w:val="Heading3"/>
      </w:pPr>
      <w:r>
        <w:t xml:space="preserve">Compromise </w:t>
      </w:r>
      <w:r w:rsidRPr="009A17D3">
        <w:t>Solution</w:t>
      </w:r>
      <w:r>
        <w:t xml:space="preserve"> Elements</w:t>
      </w:r>
    </w:p>
    <w:p w14:paraId="2FDF8500" w14:textId="6D096052" w:rsidR="009A17D3" w:rsidRDefault="009A17D3" w:rsidP="009A17D3">
      <w:r>
        <w:t xml:space="preserve">While </w:t>
      </w:r>
      <w:r w:rsidR="00EC52ED">
        <w:t>CLS</w:t>
      </w:r>
      <w:r>
        <w:t xml:space="preserve"> recommend</w:t>
      </w:r>
      <w:r w:rsidR="00EC52ED">
        <w:t>s</w:t>
      </w:r>
      <w:r>
        <w:t xml:space="preserve"> primarily pursuing the build approach, incorporating these elements of commercial solutions may address team concerns:</w:t>
      </w:r>
    </w:p>
    <w:p w14:paraId="2E6AC405" w14:textId="1D3D873D" w:rsidR="009A17D3" w:rsidRDefault="009A17D3" w:rsidP="00EC52ED">
      <w:pPr>
        <w:pStyle w:val="ListParagraph"/>
        <w:numPr>
          <w:ilvl w:val="0"/>
          <w:numId w:val="14"/>
        </w:numPr>
      </w:pPr>
      <w:r w:rsidRPr="00EC52ED">
        <w:rPr>
          <w:b/>
          <w:bCs/>
        </w:rPr>
        <w:t>Selective Commercial Deployment</w:t>
      </w:r>
      <w:r>
        <w:t>: Deploy commercial firewalls in 1-2 most critical zones (300-500 units) while building custom solution for others</w:t>
      </w:r>
    </w:p>
    <w:p w14:paraId="50EEBC1F" w14:textId="0117DD1A" w:rsidR="009A17D3" w:rsidRDefault="009A17D3" w:rsidP="00EC52ED">
      <w:pPr>
        <w:pStyle w:val="ListParagraph"/>
        <w:numPr>
          <w:ilvl w:val="0"/>
          <w:numId w:val="14"/>
        </w:numPr>
      </w:pPr>
      <w:r w:rsidRPr="00EC52ED">
        <w:rPr>
          <w:b/>
          <w:bCs/>
        </w:rPr>
        <w:t>Commercial Management Console</w:t>
      </w:r>
      <w:r>
        <w:t>: Consider using a commercial management platform that can also integrate custom enforcement points</w:t>
      </w:r>
    </w:p>
    <w:p w14:paraId="71B3D5F6" w14:textId="1C660E87" w:rsidR="009A17D3" w:rsidRDefault="009A17D3" w:rsidP="00EC52ED">
      <w:pPr>
        <w:pStyle w:val="ListParagraph"/>
        <w:numPr>
          <w:ilvl w:val="0"/>
          <w:numId w:val="14"/>
        </w:numPr>
      </w:pPr>
      <w:r w:rsidRPr="00EC52ED">
        <w:rPr>
          <w:b/>
          <w:bCs/>
        </w:rPr>
        <w:t>Vendor Advisory Relationship</w:t>
      </w:r>
      <w:r>
        <w:t>: Maintain relationship with preferred vendor for consultation without full product deployment</w:t>
      </w:r>
    </w:p>
    <w:p w14:paraId="1B24435E" w14:textId="36DDFBDC" w:rsidR="009A17D3" w:rsidRDefault="009A17D3" w:rsidP="00EC52ED">
      <w:pPr>
        <w:pStyle w:val="ListParagraph"/>
        <w:numPr>
          <w:ilvl w:val="0"/>
          <w:numId w:val="14"/>
        </w:numPr>
      </w:pPr>
      <w:r w:rsidRPr="00EC52ED">
        <w:rPr>
          <w:b/>
          <w:bCs/>
        </w:rPr>
        <w:t>Escape Hatch Planning</w:t>
      </w:r>
      <w:r>
        <w:t>: Develop clear criteria that would trigger pivoting to commercial solution if build approach falters</w:t>
      </w:r>
    </w:p>
    <w:p w14:paraId="0206D062" w14:textId="62B6CB48" w:rsidR="009A17D3" w:rsidRDefault="009A17D3" w:rsidP="00EC52ED">
      <w:pPr>
        <w:pStyle w:val="Heading3"/>
      </w:pPr>
      <w:r>
        <w:t>Success Metrics and Evaluation Framework</w:t>
      </w:r>
    </w:p>
    <w:p w14:paraId="54DA49B7" w14:textId="7D7A59C0" w:rsidR="009A17D3" w:rsidRDefault="009A17D3" w:rsidP="00EC52ED">
      <w:pPr>
        <w:pStyle w:val="Heading4"/>
      </w:pPr>
      <w:r>
        <w:t>Key Performance Indicators</w:t>
      </w:r>
    </w:p>
    <w:p w14:paraId="30168998" w14:textId="70E8894F" w:rsidR="009A17D3" w:rsidRDefault="009A17D3" w:rsidP="00EC52ED">
      <w:pPr>
        <w:pStyle w:val="ListParagraph"/>
        <w:numPr>
          <w:ilvl w:val="0"/>
          <w:numId w:val="15"/>
        </w:numPr>
      </w:pPr>
      <w:r w:rsidRPr="00EC52ED">
        <w:rPr>
          <w:b/>
          <w:bCs/>
        </w:rPr>
        <w:t>Security Effectiveness</w:t>
      </w:r>
      <w:r>
        <w:t>: Percentage of unauthorized connection attempts blocked</w:t>
      </w:r>
    </w:p>
    <w:p w14:paraId="6BA9550C" w14:textId="7570341E" w:rsidR="009A17D3" w:rsidRDefault="009A17D3" w:rsidP="00EC52ED">
      <w:pPr>
        <w:pStyle w:val="ListParagraph"/>
        <w:numPr>
          <w:ilvl w:val="0"/>
          <w:numId w:val="15"/>
        </w:numPr>
      </w:pPr>
      <w:r w:rsidRPr="00EC52ED">
        <w:rPr>
          <w:b/>
          <w:bCs/>
        </w:rPr>
        <w:t>Deployment Velocity</w:t>
      </w:r>
      <w:r>
        <w:t>: Time to secure new OT network segments</w:t>
      </w:r>
    </w:p>
    <w:p w14:paraId="5A309C7A" w14:textId="149DEE36" w:rsidR="009A17D3" w:rsidRDefault="009A17D3" w:rsidP="00EC52ED">
      <w:pPr>
        <w:pStyle w:val="ListParagraph"/>
        <w:numPr>
          <w:ilvl w:val="0"/>
          <w:numId w:val="15"/>
        </w:numPr>
      </w:pPr>
      <w:r w:rsidRPr="00EC52ED">
        <w:rPr>
          <w:b/>
          <w:bCs/>
        </w:rPr>
        <w:t>Operational Impact</w:t>
      </w:r>
      <w:r>
        <w:t>: Number of legitimate operations blocked or delayed</w:t>
      </w:r>
    </w:p>
    <w:p w14:paraId="15EFDC8C" w14:textId="72CB1A2A" w:rsidR="009A17D3" w:rsidRDefault="009A17D3" w:rsidP="00EC52ED">
      <w:pPr>
        <w:pStyle w:val="ListParagraph"/>
        <w:numPr>
          <w:ilvl w:val="0"/>
          <w:numId w:val="15"/>
        </w:numPr>
      </w:pPr>
      <w:r w:rsidRPr="00EC52ED">
        <w:rPr>
          <w:b/>
          <w:bCs/>
        </w:rPr>
        <w:t>Resource Utilization</w:t>
      </w:r>
      <w:r>
        <w:t>: CPU, memory, and network overhead of security controls</w:t>
      </w:r>
    </w:p>
    <w:p w14:paraId="2DECB3BD" w14:textId="033377ED" w:rsidR="009A17D3" w:rsidRDefault="009A17D3" w:rsidP="00EC52ED">
      <w:pPr>
        <w:pStyle w:val="ListParagraph"/>
        <w:numPr>
          <w:ilvl w:val="0"/>
          <w:numId w:val="15"/>
        </w:numPr>
      </w:pPr>
      <w:r w:rsidRPr="00EC52ED">
        <w:rPr>
          <w:b/>
          <w:bCs/>
        </w:rPr>
        <w:lastRenderedPageBreak/>
        <w:t>Team Capability Growth</w:t>
      </w:r>
      <w:r>
        <w:t>: Measured increase in team skills and confidence</w:t>
      </w:r>
    </w:p>
    <w:p w14:paraId="6CB81B12" w14:textId="7D9CA04A" w:rsidR="009A17D3" w:rsidRDefault="009A17D3" w:rsidP="00EC52ED">
      <w:pPr>
        <w:pStyle w:val="ListParagraph"/>
        <w:numPr>
          <w:ilvl w:val="0"/>
          <w:numId w:val="15"/>
        </w:numPr>
      </w:pPr>
      <w:r w:rsidRPr="00EC52ED">
        <w:rPr>
          <w:b/>
          <w:bCs/>
        </w:rPr>
        <w:t>Innovation Transfe</w:t>
      </w:r>
      <w:r w:rsidR="00EC52ED" w:rsidRPr="00EC52ED">
        <w:rPr>
          <w:b/>
          <w:bCs/>
        </w:rPr>
        <w:t>r</w:t>
      </w:r>
      <w:r>
        <w:t>: Adoption of techniques developed for OT in other areas</w:t>
      </w:r>
    </w:p>
    <w:p w14:paraId="6DF37154" w14:textId="70B8731D" w:rsidR="009A17D3" w:rsidRDefault="009A17D3" w:rsidP="00EC52ED">
      <w:pPr>
        <w:pStyle w:val="ListParagraph"/>
        <w:numPr>
          <w:ilvl w:val="0"/>
          <w:numId w:val="15"/>
        </w:numPr>
      </w:pPr>
      <w:r w:rsidRPr="00EC52ED">
        <w:rPr>
          <w:b/>
          <w:bCs/>
        </w:rPr>
        <w:t>Financial Efficiency</w:t>
      </w:r>
      <w:r>
        <w:t>: Actual costs compared to projections for both capital and operational expenses</w:t>
      </w:r>
    </w:p>
    <w:p w14:paraId="1D541B13" w14:textId="02B81556" w:rsidR="009A17D3" w:rsidRDefault="009A17D3" w:rsidP="00EC52ED">
      <w:pPr>
        <w:pStyle w:val="Heading4"/>
      </w:pPr>
      <w:r>
        <w:t>Feature Addition Triggers</w:t>
      </w:r>
    </w:p>
    <w:p w14:paraId="06C2D8E6" w14:textId="77777777" w:rsidR="009A17D3" w:rsidRDefault="009A17D3" w:rsidP="009A17D3">
      <w:r>
        <w:t>New capabilities should only be added when one of these conditions is met:</w:t>
      </w:r>
    </w:p>
    <w:p w14:paraId="4D9B8958" w14:textId="33572DE1" w:rsidR="009A17D3" w:rsidRDefault="009A17D3" w:rsidP="00EC52ED">
      <w:pPr>
        <w:pStyle w:val="ListParagraph"/>
        <w:numPr>
          <w:ilvl w:val="0"/>
          <w:numId w:val="16"/>
        </w:numPr>
      </w:pPr>
      <w:r w:rsidRPr="00EC52ED">
        <w:rPr>
          <w:b/>
          <w:bCs/>
        </w:rPr>
        <w:t>Demonstrated Threat</w:t>
      </w:r>
      <w:r>
        <w:t>: Evidence of specific attack techniques targeting your environment</w:t>
      </w:r>
    </w:p>
    <w:p w14:paraId="62F0C8D0" w14:textId="2CB68FE6" w:rsidR="009A17D3" w:rsidRDefault="009A17D3" w:rsidP="00EC52ED">
      <w:pPr>
        <w:pStyle w:val="ListParagraph"/>
        <w:numPr>
          <w:ilvl w:val="0"/>
          <w:numId w:val="16"/>
        </w:numPr>
      </w:pPr>
      <w:r w:rsidRPr="00EC52ED">
        <w:rPr>
          <w:b/>
          <w:bCs/>
        </w:rPr>
        <w:t>Regulatory Requirement</w:t>
      </w:r>
      <w:r>
        <w:t>: New compliance mandates that specifically require the feature</w:t>
      </w:r>
    </w:p>
    <w:p w14:paraId="4A54B738" w14:textId="639F1B2B" w:rsidR="009A17D3" w:rsidRDefault="009A17D3" w:rsidP="00EC52ED">
      <w:pPr>
        <w:pStyle w:val="ListParagraph"/>
        <w:numPr>
          <w:ilvl w:val="0"/>
          <w:numId w:val="16"/>
        </w:numPr>
      </w:pPr>
      <w:r w:rsidRPr="00EC52ED">
        <w:rPr>
          <w:b/>
          <w:bCs/>
        </w:rPr>
        <w:t>Operational Need</w:t>
      </w:r>
      <w:r>
        <w:t>: Business process changes requiring new security capabilities</w:t>
      </w:r>
    </w:p>
    <w:p w14:paraId="2F05A926" w14:textId="7BC1E210" w:rsidR="009A17D3" w:rsidRDefault="009A17D3" w:rsidP="00EC52ED">
      <w:pPr>
        <w:pStyle w:val="ListParagraph"/>
        <w:numPr>
          <w:ilvl w:val="0"/>
          <w:numId w:val="16"/>
        </w:numPr>
      </w:pPr>
      <w:r w:rsidRPr="00EC52ED">
        <w:rPr>
          <w:b/>
          <w:bCs/>
        </w:rPr>
        <w:t>Efficiency Opportunity</w:t>
      </w:r>
      <w:r>
        <w:t>: Feature would significantly reduce operational overhead</w:t>
      </w:r>
    </w:p>
    <w:p w14:paraId="613F212C" w14:textId="609C1295" w:rsidR="009A17D3" w:rsidRDefault="009A17D3" w:rsidP="00EC52ED">
      <w:pPr>
        <w:pStyle w:val="Heading3"/>
      </w:pPr>
      <w:r>
        <w:t>Conclusion</w:t>
      </w:r>
    </w:p>
    <w:p w14:paraId="6C6E5E1A" w14:textId="5299A88F" w:rsidR="009A17D3" w:rsidRDefault="009A17D3" w:rsidP="009A17D3">
      <w:r>
        <w:t xml:space="preserve">The build vs. buy decision for ICS/OT segmentation represents more than just a technical choice—it's a statement about </w:t>
      </w:r>
      <w:r w:rsidR="00EC52ED">
        <w:t>CLS’</w:t>
      </w:r>
      <w:r>
        <w:t xml:space="preserve"> identity and its relationship to the broader company culture. By embracing an iterative build approach, </w:t>
      </w:r>
      <w:r w:rsidR="00EC52ED">
        <w:t>CLS</w:t>
      </w:r>
      <w:r>
        <w:t xml:space="preserve"> reinforce</w:t>
      </w:r>
      <w:r w:rsidR="00EC52ED">
        <w:t>s</w:t>
      </w:r>
      <w:r>
        <w:t xml:space="preserve"> the innovative spirit that has defined </w:t>
      </w:r>
      <w:r w:rsidR="00EC52ED">
        <w:t>Amazon</w:t>
      </w:r>
      <w:r>
        <w:t xml:space="preserve"> while addressing essential security requirements.</w:t>
      </w:r>
    </w:p>
    <w:p w14:paraId="2FEAACC8" w14:textId="77777777" w:rsidR="009A17D3" w:rsidRDefault="009A17D3" w:rsidP="009A17D3">
      <w:r>
        <w:t>With a potential cost difference of $40-55.5 million over five years, the financial case for the build approach is compelling. This difference allows for significant investment in development and maintenance resources while still delivering substantial savings. The absence of recurring licensing costs also provides greater budgetary predictability.</w:t>
      </w:r>
    </w:p>
    <w:p w14:paraId="0992CA40" w14:textId="77777777" w:rsidR="009A17D3" w:rsidRDefault="009A17D3" w:rsidP="009A17D3">
      <w:r>
        <w:t>A custom-built solution focusing initially on core protections allows you to deploy critical controls quickly, learn from actual usage patterns, and evolve the solution based on evidence rather than assumptions. This approach aligns technical needs with cultural values while positioning the security team as innovation partners.</w:t>
      </w:r>
    </w:p>
    <w:p w14:paraId="5CBF74CC" w14:textId="77777777" w:rsidR="009A17D3" w:rsidRDefault="009A17D3" w:rsidP="009A17D3">
      <w:r>
        <w:t>The recommended hybrid strategy mitigates key risks while creating space for the security team to develop new capabilities. By establishing clear evaluation criteria and decision points, you maintain flexibility to adjust course if requirements change or challenges emerge.</w:t>
      </w:r>
    </w:p>
    <w:p w14:paraId="3481936F" w14:textId="07FF7631" w:rsidR="003F28A8" w:rsidRDefault="009A17D3" w:rsidP="009A17D3">
      <w:r>
        <w:t xml:space="preserve">For an organization with </w:t>
      </w:r>
      <w:r w:rsidR="00EC52ED">
        <w:t>Amazon’s</w:t>
      </w:r>
      <w:r>
        <w:t xml:space="preserve"> history of innovation and disruption, facing the scale of deployment </w:t>
      </w:r>
      <w:proofErr w:type="spellStart"/>
      <w:r w:rsidR="00EC52ED">
        <w:t>WWOps</w:t>
      </w:r>
      <w:proofErr w:type="spellEnd"/>
      <w:r>
        <w:t xml:space="preserve"> require</w:t>
      </w:r>
      <w:r w:rsidR="00EC52ED">
        <w:t>s</w:t>
      </w:r>
      <w:r>
        <w:t>, this approach represents the optimal balance of security, agility, and financial responsibility.</w:t>
      </w:r>
    </w:p>
    <w:sectPr w:rsidR="003F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2994"/>
    <w:multiLevelType w:val="hybridMultilevel"/>
    <w:tmpl w:val="C054F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630B"/>
    <w:multiLevelType w:val="hybridMultilevel"/>
    <w:tmpl w:val="1B90DB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281AFC"/>
    <w:multiLevelType w:val="hybridMultilevel"/>
    <w:tmpl w:val="D28858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C73013"/>
    <w:multiLevelType w:val="hybridMultilevel"/>
    <w:tmpl w:val="0FD2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45A5B"/>
    <w:multiLevelType w:val="hybridMultilevel"/>
    <w:tmpl w:val="4B6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D2981"/>
    <w:multiLevelType w:val="hybridMultilevel"/>
    <w:tmpl w:val="FAC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76CFE"/>
    <w:multiLevelType w:val="hybridMultilevel"/>
    <w:tmpl w:val="6FE8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81DE4"/>
    <w:multiLevelType w:val="hybridMultilevel"/>
    <w:tmpl w:val="B910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C7AF3"/>
    <w:multiLevelType w:val="hybridMultilevel"/>
    <w:tmpl w:val="39A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641FC"/>
    <w:multiLevelType w:val="hybridMultilevel"/>
    <w:tmpl w:val="794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D1AE7"/>
    <w:multiLevelType w:val="hybridMultilevel"/>
    <w:tmpl w:val="B13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B4767"/>
    <w:multiLevelType w:val="hybridMultilevel"/>
    <w:tmpl w:val="FC6A1C22"/>
    <w:lvl w:ilvl="0" w:tplc="8D3803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112EC"/>
    <w:multiLevelType w:val="hybridMultilevel"/>
    <w:tmpl w:val="4BB6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F524C"/>
    <w:multiLevelType w:val="hybridMultilevel"/>
    <w:tmpl w:val="E02A2E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B92221"/>
    <w:multiLevelType w:val="hybridMultilevel"/>
    <w:tmpl w:val="EF14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60EF2"/>
    <w:multiLevelType w:val="hybridMultilevel"/>
    <w:tmpl w:val="1C402A1C"/>
    <w:lvl w:ilvl="0" w:tplc="8D3803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A352F"/>
    <w:multiLevelType w:val="hybridMultilevel"/>
    <w:tmpl w:val="90BA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65457"/>
    <w:multiLevelType w:val="hybridMultilevel"/>
    <w:tmpl w:val="C84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0032F"/>
    <w:multiLevelType w:val="hybridMultilevel"/>
    <w:tmpl w:val="B22A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296807">
    <w:abstractNumId w:val="4"/>
  </w:num>
  <w:num w:numId="2" w16cid:durableId="1901550529">
    <w:abstractNumId w:val="15"/>
  </w:num>
  <w:num w:numId="3" w16cid:durableId="817646168">
    <w:abstractNumId w:val="11"/>
  </w:num>
  <w:num w:numId="4" w16cid:durableId="503201287">
    <w:abstractNumId w:val="16"/>
  </w:num>
  <w:num w:numId="5" w16cid:durableId="106238148">
    <w:abstractNumId w:val="13"/>
  </w:num>
  <w:num w:numId="6" w16cid:durableId="1284266096">
    <w:abstractNumId w:val="0"/>
  </w:num>
  <w:num w:numId="7" w16cid:durableId="1638686843">
    <w:abstractNumId w:val="1"/>
  </w:num>
  <w:num w:numId="8" w16cid:durableId="1173446680">
    <w:abstractNumId w:val="9"/>
  </w:num>
  <w:num w:numId="9" w16cid:durableId="1075513328">
    <w:abstractNumId w:val="8"/>
  </w:num>
  <w:num w:numId="10" w16cid:durableId="892890022">
    <w:abstractNumId w:val="18"/>
  </w:num>
  <w:num w:numId="11" w16cid:durableId="279532297">
    <w:abstractNumId w:val="10"/>
  </w:num>
  <w:num w:numId="12" w16cid:durableId="1173379499">
    <w:abstractNumId w:val="5"/>
  </w:num>
  <w:num w:numId="13" w16cid:durableId="69353040">
    <w:abstractNumId w:val="6"/>
  </w:num>
  <w:num w:numId="14" w16cid:durableId="307055648">
    <w:abstractNumId w:val="7"/>
  </w:num>
  <w:num w:numId="15" w16cid:durableId="269513838">
    <w:abstractNumId w:val="17"/>
  </w:num>
  <w:num w:numId="16" w16cid:durableId="1956861282">
    <w:abstractNumId w:val="12"/>
  </w:num>
  <w:num w:numId="17" w16cid:durableId="1600024372">
    <w:abstractNumId w:val="14"/>
  </w:num>
  <w:num w:numId="18" w16cid:durableId="1628004815">
    <w:abstractNumId w:val="3"/>
  </w:num>
  <w:num w:numId="19" w16cid:durableId="197999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D3"/>
    <w:rsid w:val="000B2F00"/>
    <w:rsid w:val="003F28A8"/>
    <w:rsid w:val="007D5B9B"/>
    <w:rsid w:val="00816420"/>
    <w:rsid w:val="008D6088"/>
    <w:rsid w:val="009A17D3"/>
    <w:rsid w:val="00A11F6C"/>
    <w:rsid w:val="00C518C9"/>
    <w:rsid w:val="00EC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3755C"/>
  <w15:chartTrackingRefBased/>
  <w15:docId w15:val="{F775EC46-6211-A14D-9EA2-31041EDF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1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1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1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1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7D3"/>
    <w:rPr>
      <w:rFonts w:eastAsiaTheme="majorEastAsia" w:cstheme="majorBidi"/>
      <w:color w:val="272727" w:themeColor="text1" w:themeTint="D8"/>
    </w:rPr>
  </w:style>
  <w:style w:type="paragraph" w:styleId="Title">
    <w:name w:val="Title"/>
    <w:basedOn w:val="Normal"/>
    <w:next w:val="Normal"/>
    <w:link w:val="TitleChar"/>
    <w:uiPriority w:val="10"/>
    <w:qFormat/>
    <w:rsid w:val="009A1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7D3"/>
    <w:pPr>
      <w:spacing w:before="160"/>
      <w:jc w:val="center"/>
    </w:pPr>
    <w:rPr>
      <w:i/>
      <w:iCs/>
      <w:color w:val="404040" w:themeColor="text1" w:themeTint="BF"/>
    </w:rPr>
  </w:style>
  <w:style w:type="character" w:customStyle="1" w:styleId="QuoteChar">
    <w:name w:val="Quote Char"/>
    <w:basedOn w:val="DefaultParagraphFont"/>
    <w:link w:val="Quote"/>
    <w:uiPriority w:val="29"/>
    <w:rsid w:val="009A17D3"/>
    <w:rPr>
      <w:i/>
      <w:iCs/>
      <w:color w:val="404040" w:themeColor="text1" w:themeTint="BF"/>
    </w:rPr>
  </w:style>
  <w:style w:type="paragraph" w:styleId="ListParagraph">
    <w:name w:val="List Paragraph"/>
    <w:basedOn w:val="Normal"/>
    <w:uiPriority w:val="34"/>
    <w:qFormat/>
    <w:rsid w:val="009A17D3"/>
    <w:pPr>
      <w:ind w:left="720"/>
      <w:contextualSpacing/>
    </w:pPr>
  </w:style>
  <w:style w:type="character" w:styleId="IntenseEmphasis">
    <w:name w:val="Intense Emphasis"/>
    <w:basedOn w:val="DefaultParagraphFont"/>
    <w:uiPriority w:val="21"/>
    <w:qFormat/>
    <w:rsid w:val="009A17D3"/>
    <w:rPr>
      <w:i/>
      <w:iCs/>
      <w:color w:val="0F4761" w:themeColor="accent1" w:themeShade="BF"/>
    </w:rPr>
  </w:style>
  <w:style w:type="paragraph" w:styleId="IntenseQuote">
    <w:name w:val="Intense Quote"/>
    <w:basedOn w:val="Normal"/>
    <w:next w:val="Normal"/>
    <w:link w:val="IntenseQuoteChar"/>
    <w:uiPriority w:val="30"/>
    <w:qFormat/>
    <w:rsid w:val="009A1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7D3"/>
    <w:rPr>
      <w:i/>
      <w:iCs/>
      <w:color w:val="0F4761" w:themeColor="accent1" w:themeShade="BF"/>
    </w:rPr>
  </w:style>
  <w:style w:type="character" w:styleId="IntenseReference">
    <w:name w:val="Intense Reference"/>
    <w:basedOn w:val="DefaultParagraphFont"/>
    <w:uiPriority w:val="32"/>
    <w:qFormat/>
    <w:rsid w:val="009A17D3"/>
    <w:rPr>
      <w:b/>
      <w:bCs/>
      <w:smallCaps/>
      <w:color w:val="0F4761" w:themeColor="accent1" w:themeShade="BF"/>
      <w:spacing w:val="5"/>
    </w:rPr>
  </w:style>
  <w:style w:type="table" w:styleId="TableGrid">
    <w:name w:val="Table Grid"/>
    <w:basedOn w:val="TableNormal"/>
    <w:uiPriority w:val="39"/>
    <w:rsid w:val="000B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Broyles, Andy</dc:creator>
  <cp:keywords/>
  <dc:description/>
  <cp:lastModifiedBy>Broyles, Andy</cp:lastModifiedBy>
  <cp:revision>2</cp:revision>
  <dcterms:created xsi:type="dcterms:W3CDTF">2025-02-24T16:01:00Z</dcterms:created>
  <dcterms:modified xsi:type="dcterms:W3CDTF">2025-02-25T15:34:00Z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2025-02-24T16:06:03Z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7589fcf8-2f4a-48b8-89f4-0a82388763c4</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