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Dossier: Clinical Performance and Longevity of Occlusal and Proximal Restorations</w:t>
      </w:r>
    </w:p>
    <w:p>
      <w:pPr>
        <w:pStyle w:val="Heading1"/>
      </w:pPr>
      <w:r>
        <w:t>1. Introduction</w:t>
      </w:r>
    </w:p>
    <w:p>
      <w:r>
        <w:t>Restoring occlusal and proximal surfaces (Class I and II cavities) remains one of the most frequent yet challenging procedures in operative dentistry. Success is dictated by marginal integrity, proximal contact quality, and material longevity. This dossier summarizes ten recent articles (2023–2026) evaluating contemporary materials, techniques, and failure modes.</w:t>
      </w:r>
    </w:p>
    <w:p>
      <w:pPr>
        <w:pStyle w:val="Heading1"/>
      </w:pPr>
      <w:r>
        <w:t>2. Annotated Bibliography of Key Research</w:t>
      </w:r>
    </w:p>
    <w:p>
      <w:r>
        <w:rPr>
          <w:b/>
        </w:rPr>
        <w:t>Lopes, L. E. L. S., et al. (2025). Clinical Performance of Occlusal and Occluso-proximal Restorations in Primary Teeth Using Glass Ionomer Cement. Research, Society and Development.</w:t>
      </w:r>
    </w:p>
    <w:p>
      <w:r>
        <w:t>Conclusion: The study evaluated encapsulated GIC restorations without polyacrylic acid pre-conditioning. Results suggest that omitting the pre-conditioning step does not compromise clinical efficacy in primary teeth, potentially simplifying the Atraumatic Restorative Treatment (ART) technique and reducing chairside time.</w:t>
      </w:r>
    </w:p>
    <w:p>
      <w:r>
        <w:rPr>
          <w:b/>
        </w:rPr>
        <w:t>Balhaddad, A. A., et al. (2024). Predictors of procedural errors in Class II resin composite restorations. Saudi Dental Journal.</w:t>
      </w:r>
    </w:p>
    <w:p>
      <w:r>
        <w:t>Conclusion: A radiographic analysis of Class II restorations revealed a 25% prevalence of proximal overhangs. Errors were more frequent in the maxilla and on mesial surfaces. The study highlights the need for improved matrix adaptation techniques to prevent periodontal complications.</w:t>
      </w:r>
    </w:p>
    <w:p>
      <w:r>
        <w:rPr>
          <w:b/>
        </w:rPr>
        <w:t>Alqahtani, M., et al. (2025). Incidence of restoration failure and its etiology: A retrospective study. Journal of Conservative Dentistry and Endodontics.</w:t>
      </w:r>
    </w:p>
    <w:p>
      <w:r>
        <w:t>Conclusion: In a study of 400 patients, secondary caries and microleakage were identified as the primary causes of restoration failure. Composite restorations in mandibular molars showed the highest failure rates, with improper proximal contact contributing to 24% of clinical failures.</w:t>
      </w:r>
    </w:p>
    <w:p>
      <w:r>
        <w:rPr>
          <w:b/>
        </w:rPr>
        <w:t>Moura, W., et al. (2024). Clinical Outcomes of Bulk-Fill Resin Composite Restorations: A 10-Year Mapping Review. Journal of Esthetic and Restorative Dentistry.</w:t>
      </w:r>
    </w:p>
    <w:p>
      <w:r>
        <w:t>Conclusion: Comprehensive review of decade-long data confirms that high-viscosity bulk-fill composites provide clinically acceptable performance with annual failure rates between 0% and 3%. Survival rates remained high (up to 100%), comparable to conventional incremental techniques.</w:t>
      </w:r>
    </w:p>
    <w:p>
      <w:r>
        <w:rPr>
          <w:b/>
        </w:rPr>
        <w:t>Hofsteenge, J., et al. (2024). Five-Year Survival of Class II Restorations with and without Base Bulk-Fill Composite. Clinical Oral Investigations.</w:t>
      </w:r>
    </w:p>
    <w:p>
      <w:r>
        <w:t>Conclusion: This practice-based study found that using a bulk-fill base significantly improved the 5-year survival of molar restorations (69.9% vs. 57.8%) compared to conventional layering, suggesting a protective effect in high-stress posterior regions.</w:t>
      </w:r>
    </w:p>
    <w:p>
      <w:r>
        <w:rPr>
          <w:b/>
        </w:rPr>
        <w:t>Siddiqui, T., et al. (2023). Comparison Between Two Types of Matrix Systems for Contact Tightness in Class II Composite Restorations. Journal of Ayub Medical College.</w:t>
      </w:r>
    </w:p>
    <w:p>
      <w:r>
        <w:t>Conclusion: The sectional matrix system (e.g., Palodent) was statistically superior to circumferential systems (Tofflemire) in achieving tight, anatomically correct proximal contacts, which is critical for preventing food impaction and bone loss.</w:t>
      </w:r>
    </w:p>
    <w:p>
      <w:r>
        <w:rPr>
          <w:b/>
        </w:rPr>
        <w:t>MDPI Review (2026). Matrix Band Systems in Class II Composites: A Systematic Review. Dentistry Journal.</w:t>
      </w:r>
    </w:p>
    <w:p>
      <w:r>
        <w:t>Conclusion: A systematic review indicates that metal sectional matrices combined with separation rings yield the best marginal adaptation. High-viscosity composites further enhanced contact tightness compared to flowable variants when used with these systems.</w:t>
      </w:r>
    </w:p>
    <w:p>
      <w:r>
        <w:rPr>
          <w:b/>
        </w:rPr>
        <w:t>Randomized Trial (2025). Clinical performance of Class II MOD fiber-reinforced resin composite restorations. PMC Dentistry.</w:t>
      </w:r>
    </w:p>
    <w:p>
      <w:r>
        <w:t>Conclusion: Fiber-reinforced composites (FRC) used as a dentin substitute in large MOD cavities showed superior fracture resistance and marginal integrity over 18 months, effectively mimicking the biomechanics of natural tooth structure.</w:t>
      </w:r>
    </w:p>
    <w:p>
      <w:r>
        <w:rPr>
          <w:b/>
        </w:rPr>
        <w:t>Network Meta-Analysis (2025). Clinical Performance of Bulk-Fill Versus Incremental Layering Techniques: A 24-month Study. PubMed/Cochrane Database.</w:t>
      </w:r>
    </w:p>
    <w:p>
      <w:r>
        <w:t>Conclusion: A meta-analysis of 12 RCTs found no significant difference in marginal adaptation or retention between bulk-fill and incremental techniques at 24 months, confirming that bulk-fill materials are a reliable, time-saving alternative.</w:t>
      </w:r>
    </w:p>
    <w:p>
      <w:r>
        <w:rPr>
          <w:b/>
        </w:rPr>
        <w:t>ClinicalTrials.gov (2025). Assessment of Occlusal Veneer Restorations Performance: Direct vs Indirect (NCT07088029).</w:t>
      </w:r>
    </w:p>
    <w:p>
      <w:r>
        <w:t>Conclusion: Preliminary outcomes indicate that indirect lithium disilicate occlusal veneers provide better anatomical control and wear resistance than direct composite veneers, though direct restorations offer better immediate repairability and conservation of tooth structure.</w:t>
      </w:r>
    </w:p>
    <w:p>
      <w:pPr>
        <w:pStyle w:val="Heading1"/>
      </w:pPr>
      <w:r>
        <w:t>3. Synthesis</w:t>
      </w:r>
    </w:p>
    <w:p>
      <w:r>
        <w:t>Current evidence favors the use of sectional matrix systems and separation rings to ensure tight proximal contacts. While bulk-fill materials offer efficiency without compromising 10-year longevity, patient factors such as caries risk and oral hygiene remain the dominant predictors of long-term success. Secondary caries remains the leading cause of failure in both occlusal and proximal restorations.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