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0 Decision and Approval Letter</w:t>
      </w:r>
    </w:p>
    <w:p>
      <w:pPr>
        <w:jc w:val="center"/>
      </w:pPr>
      <w:r>
        <w:rPr>
          <w:i/>
          <w:color w:val="147D55"/>
        </w:rPr>
        <w:t>Decision record and executive gate</w:t>
      </w:r>
    </w:p>
    <w:p>
      <w:pPr>
        <w:jc w:val="center"/>
      </w:pPr>
      <w:r>
        <w:rPr>
          <w:color w:val="964119"/>
          <w:sz w:val="17"/>
        </w:rPr>
        <w:t>MediPassport | Prepared 21 October 2026 | DRAFT FOR REVIEW — NOT APPROVED OR SIGNED</w:t>
      </w:r>
    </w:p>
    <w:p>
      <w:pPr>
        <w:pStyle w:val="Heading1"/>
      </w:pPr>
      <w:r>
        <w:t>Purpose</w:t>
      </w:r>
    </w:p>
    <w:p>
      <w:r>
        <w:t>This letter records the decisions required to close Phase 0. The earlier record identified accountable roles only; it did not supply individual names, signed dispositions, conditions, or an executive gate decision. Do not treat blanks as approval.</w:t>
      </w:r>
    </w:p>
    <w:p>
      <w:pPr>
        <w:pStyle w:val="Heading1"/>
      </w:pPr>
      <w:r>
        <w:t>Interim gate position</w:t>
      </w:r>
    </w:p>
    <w:p>
      <w:r>
        <w:t>Until all required decisions are documented, work is limited to synthetic-data development, environment separation, API/application foundations, CI, and baseline security controls. Prohibited pending approval: real patient data, patient-facing clinical workflows, live clinical use, production integrations, production deployment, and live pilot activity.</w:t>
      </w:r>
    </w:p>
    <w:p>
      <w:pPr>
        <w:pStyle w:val="Heading1"/>
      </w:pPr>
      <w:r>
        <w:t>Owner decision register</w:t>
      </w:r>
    </w:p>
    <w:p>
      <w:r>
        <w:t>Product / Integration Owner — Name [INSERT]; disposition [PENDING: APPROVE / APPROVE WITH CONDITIONS / REJECT / DEFER]; conditions/evidence [INSERT]; date [INSERT]; signature/reference [INSERT].</w:t>
      </w:r>
    </w:p>
    <w:p>
      <w:r>
        <w:t>Legal / Privacy Owner — Name [INSERT]; disposition [PENDING]; conditions/evidence [INSERT]; date [INSERT]; signature/reference [INSERT].</w:t>
      </w:r>
    </w:p>
    <w:p>
      <w:r>
        <w:t>Clinical Safety Owner — Name [INSERT]; disposition [PENDING]; conditions/evidence [INSERT]; date [INSERT]; signature/reference [INSERT].</w:t>
      </w:r>
    </w:p>
    <w:p>
      <w:r>
        <w:t>Platform / Technical Owner — Name [INSERT]; disposition [PENDING]; conditions/evidence [INSERT]; date [INSERT]; signature/reference [INSERT].</w:t>
      </w:r>
    </w:p>
    <w:p>
      <w:r>
        <w:t>Security / Operations Owner — Name [INSERT]; disposition [PENDING]; conditions/evidence [INSERT]; date [INSERT]; signature/reference [INSERT].</w:t>
      </w:r>
    </w:p>
    <w:p>
      <w:r>
        <w:t>Executive Sponsor / Phase 0 Gate Owner — Name [INSERT]; overall gate decision [PENDING]; rationale [INSERT]; conditions [INSERT]; effective date [INSERT]; signature/reference [INSERT].</w:t>
      </w:r>
    </w:p>
    <w:p>
      <w:pPr>
        <w:pStyle w:val="Heading1"/>
      </w:pPr>
      <w:r>
        <w:t>Conditions before Phase 1 with real data</w:t>
      </w:r>
    </w:p>
    <w:p>
      <w:r>
        <w:t>Require: signed product/pilot scope and facility list; written Mediflow sandbox/data-use authorization; qualified Nigerian legal/privacy review; clinical governance approval; completed platform decision record; security/operations readiness approval; risk register with critical/high risks closed or explicitly risk-accepted by an authorized owner; and a recorded executive gate decision.</w:t>
      </w:r>
    </w:p>
    <w:p>
      <w:pPr>
        <w:pStyle w:val="Heading1"/>
      </w:pPr>
      <w:r>
        <w:t>Executive gate decision — must be completed by the gate owner</w:t>
      </w:r>
    </w:p>
    <w:p>
      <w:r>
        <w:t>Decision [APPROVE / APPROVE WITH CONDITIONS / REJECT / DEFER]; approved scope [INSERT]; explicit exclusions [INSERT]; conditions and owners [INSERT]; evidence reviewed [INSERT]; rationale [INSERT]; effective/review dates [INSERT]; Executive Sponsor/Gate Owner name and signature [INSERT].</w:t>
      </w:r>
    </w:p>
    <w:p>
      <w:pPr>
        <w:pStyle w:val="Heading1"/>
      </w:pPr>
      <w:r>
        <w:t>Recordkeeping and change control</w:t>
      </w:r>
    </w:p>
    <w:p>
      <w:r>
        <w:t>Store this letter with signed approvals, evidence links, version identifiers, and meeting minutes. Any material change to data types, participating facilities, hosting, access rules, clinical use, or security assumptions must be reviewed by the relevant owner and gate.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MediPassport | Draft for review | Unapproved until signed by authorized owners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