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and Pilot Scope</w:t>
      </w:r>
    </w:p>
    <w:p>
      <w:pPr>
        <w:jc w:val="center"/>
      </w:pPr>
      <w:r>
        <w:rPr>
          <w:i/>
          <w:color w:val="147D55"/>
        </w:rPr>
        <w:t>First release, facility selection, Mediflow rights and acceptance</w:t>
      </w:r>
    </w:p>
    <w:p>
      <w:pPr>
        <w:jc w:val="center"/>
      </w:pPr>
      <w:r>
        <w:rPr>
          <w:color w:val="964119"/>
          <w:sz w:val="17"/>
        </w:rPr>
        <w:t>MediPassport | Prepared 21 October 2026 | DRAFT FOR REVIEW — NOT APPROVED OR SIGNED</w:t>
      </w:r>
    </w:p>
    <w:p>
      <w:pPr>
        <w:pStyle w:val="Heading1"/>
      </w:pPr>
      <w:r>
        <w:t>Status and purpose</w:t>
      </w:r>
    </w:p>
    <w:p>
      <w:r>
        <w:t>Draft for review. Product / Integration Owner [NAME]. Executive Sponsor [NAME]. This document must be approved before live pilot activity or processing real patient data.</w:t>
      </w:r>
    </w:p>
    <w:p>
      <w:pPr>
        <w:pStyle w:val="Heading1"/>
      </w:pPr>
      <w:r>
        <w:t>Product objective</w:t>
      </w:r>
    </w:p>
    <w:p>
      <w:r>
        <w:t>Validate that MediPassport can securely make relevant patient information available to appropriately authorized care providers across participating facilities, including Mediflow-connected facilities and facilities using other EHRs or an approved provider portal.</w:t>
      </w:r>
    </w:p>
    <w:p>
      <w:pPr>
        <w:pStyle w:val="Heading1"/>
      </w:pPr>
      <w:r>
        <w:t>First-release scope — proposed</w:t>
      </w:r>
    </w:p>
    <w:p>
      <w:r>
        <w:t>Patient account and identity workflow; facility/practitioner registry and verification; record index/timeline; source/date/author/verification labels; structured data and controlled document references; patient-initiated sharing and provider access requests; time-limited scoped access; consent capture/revocation; provider portal for approved no-EHR workflows; access history/audit; basic referral workflow; Mediflow sandbox integration; monitoring and support procedures.</w:t>
      </w:r>
    </w:p>
    <w:p>
      <w:pPr>
        <w:pStyle w:val="Heading1"/>
      </w:pPr>
      <w:r>
        <w:t>Explicit exclusions</w:t>
      </w:r>
    </w:p>
    <w:p>
      <w:r>
        <w:t>No autonomous diagnosis/treatment advice; no replacement of Mediflow or other EHRs; no unrestricted cross-facility search; no public QR access or clinical data embedded in QR; no live clinical use before approvals; no production integration/deployment before gate approval; no bulk historical import unless separately authorized; no production data in development/testing unless lawful basis, authorization, and safeguards are documented.</w:t>
      </w:r>
    </w:p>
    <w:p>
      <w:pPr>
        <w:pStyle w:val="Heading1"/>
      </w:pPr>
      <w:r>
        <w:t>Pilot facilities — names pending</w:t>
      </w:r>
    </w:p>
    <w:p>
      <w:r>
        <w:t>Do not invent facilities. For each proposed facility record: name [INSERT], type [hospital/clinic/lab/pharmacy/specialist], location [INSERT], EHR/portal path [INSERT], accountable lead [INSERT], legal role [TO BE REVIEWED], scope [INSERT], signed participation/data-sharing agreement [YES/NO], readiness date [INSERT]. Aim to include one Mediflow-connected facility and, if feasible, one independent EHR or no-EHR participant.</w:t>
      </w:r>
    </w:p>
    <w:p>
      <w:pPr>
        <w:pStyle w:val="Heading1"/>
      </w:pPr>
      <w:r>
        <w:t>Mediflow sandbox and data rights</w:t>
      </w:r>
    </w:p>
    <w:p>
      <w:r>
        <w:t>Before integration: obtain written authorization from the system/data owner; name technical contacts; record sandbox endpoint/version, API scopes, permitted fields, test window, rate limits, security requirements, incident contact, IP/derivative-work terms, restrictions on copying/export, log permissions, retention/deletion at test end, and revocation process. Default to synthetic data only. Access to Mediflow software does not itself grant rights to patient data. Any real data requires separately documented lawful basis, authorization, agreements, and privacy/security approval.</w:t>
      </w:r>
    </w:p>
    <w:p>
      <w:pPr>
        <w:pStyle w:val="Heading1"/>
      </w:pPr>
      <w:r>
        <w:t>Acceptance criteria — proposed</w:t>
      </w:r>
    </w:p>
    <w:p>
      <w:r>
        <w:t>All facilities/users verified; no unresolved false patient merges; uncertain matches route to manual review; each displayed record shows source/date and verification status; consent and scope enforced server-side; expired/revoked grants fail; QR carries no clinical content and scanning alone reveals nothing; access and emergency events logged; stale/sync failure status visible; no open critical/high security defects at go-live; backup restore and incident tabletop pass; facility leads sign acceptance and escalation routes are tested.</w:t>
      </w:r>
    </w:p>
    <w:p>
      <w:pPr>
        <w:pStyle w:val="Heading1"/>
      </w:pPr>
      <w:r>
        <w:t>Pilot metrics and sign-off</w:t>
      </w:r>
    </w:p>
    <w:p>
      <w:r>
        <w:t>Measure retrieval time, matching success/ambiguity, provenance completeness, sync failures, provider workflow completion, patient understanding, and referral status. Duplicate-investigation reduction should be measured only where baseline data and methodology are valid. Product owner [PENDING]; facility leads [PENDING]; legal/privacy [PENDING]; clinical safety [PENDING]; security/operations [PENDING]; executive gate [PENDING].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MediPassport | Draft for review | Unapproved until signed by authorized owners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