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and Privacy Review</w:t>
      </w:r>
    </w:p>
    <w:p>
      <w:pPr>
        <w:jc w:val="center"/>
      </w:pPr>
      <w:r>
        <w:rPr>
          <w:i/>
          <w:color w:val="147D55"/>
        </w:rPr>
        <w:t>Issues for qualified Nigerian counsel and privacy professional</w:t>
      </w:r>
    </w:p>
    <w:p>
      <w:pPr>
        <w:jc w:val="center"/>
      </w:pPr>
      <w:r>
        <w:rPr>
          <w:color w:val="964119"/>
          <w:sz w:val="17"/>
        </w:rPr>
        <w:t>MediPassport | Prepared 21 October 2026 | DRAFT FOR REVIEW — NOT APPROVED OR SIGNED</w:t>
      </w:r>
    </w:p>
    <w:p>
      <w:pPr>
        <w:pStyle w:val="Heading1"/>
      </w:pPr>
      <w:r>
        <w:t>Status and limitation</w:t>
      </w:r>
    </w:p>
    <w:p>
      <w:r>
        <w:t>This is an issue-spotting template, not legal advice or a legal sign-off. A qualified Nigerian lawyer and privacy professional must verify applicable law, current directives, facts, and required actions before real patient data is processed.</w:t>
      </w:r>
    </w:p>
    <w:p>
      <w:pPr>
        <w:pStyle w:val="Heading1"/>
      </w:pPr>
      <w:r>
        <w:t>Primary references</w:t>
      </w:r>
    </w:p>
    <w:p>
      <w:r>
        <w:t>Review the Nigeria Data Protection Act 2023 (NDP Act), NDPC General Application and Implementation Directive (GAID) 2025 and current NDPC guidance, constitutional privacy protections, and any applicable health-sector, professional, child-protection, cybersecurity, contractual, state, or federal requirements. Confirm current versions and amendments.</w:t>
      </w:r>
    </w:p>
    <w:p>
      <w:pPr>
        <w:pStyle w:val="Heading1"/>
      </w:pPr>
      <w:r>
        <w:t>Official starting points</w:t>
      </w:r>
    </w:p>
    <w:p>
      <w:r>
        <w:t>NDP Act 2023: https://ndpc.gov.ng/download/nigeria-data-protection-act-2023</w:t>
      </w:r>
    </w:p>
    <w:p>
      <w:r>
        <w:t>NDPC GAID 2025: https://ndpc.gov.ng/wp-content/uploads/2025/07/NDP-ACT-GAID-2025-MARCH-20TH.pdf</w:t>
      </w:r>
    </w:p>
    <w:p>
      <w:r>
        <w:t>NDPC resources: https://ndpc.gov.ng/resources/</w:t>
      </w:r>
    </w:p>
    <w:p>
      <w:pPr>
        <w:pStyle w:val="Heading1"/>
      </w:pPr>
      <w:r>
        <w:t>Roles and accountability</w:t>
      </w:r>
    </w:p>
    <w:p>
      <w:r>
        <w:t>Map each processing activity and determine whether MediPassport operator, each facility, Mediflow, hosting provider, messaging provider, and integration partner act as controller, joint controller, processor, or another role. Document who determines purpose/means, handles rights requests, approves disclosures, maintains processing records, and manages regulatory/data-subject notifications.</w:t>
      </w:r>
    </w:p>
    <w:p>
      <w:pPr>
        <w:pStyle w:val="Heading1"/>
      </w:pPr>
      <w:r>
        <w:t>Lawful purposes and health data</w:t>
      </w:r>
    </w:p>
    <w:p>
      <w:r>
        <w:t>For each activity document purpose, data categories, subjects, recipients, retention, and lawful basis. Review direct care, patient-directed sharing, identity resolution, emergency access, security monitoring, analytics, and support separately. Assess necessity, proportionality, transparency, and whether a DPIA is required or prudent. Do not assume consent is the lawful basis for every activity.</w:t>
      </w:r>
    </w:p>
    <w:p>
      <w:pPr>
        <w:pStyle w:val="Heading1"/>
      </w:pPr>
      <w:r>
        <w:t>Residency and cross-border transfers</w:t>
      </w:r>
    </w:p>
    <w:p>
      <w:r>
        <w:t>Determine whether law, sector rule, contract, procurement term, or risk assessment requires local hosting for any particular data/service. Do not claim all health data must be hosted in Nigeria unless counsel confirms it for the relevant facts. Document locations of primary data, backups, logs, telemetry, support access, and subprocessors. For cross-border transfers assess legal basis/safeguards, onward transfers, foreign access, contracts, and notice. Preferred default: Nigerian-region hosting if feasible; any alternative needs documented legal, security, and executive approval.</w:t>
      </w:r>
    </w:p>
    <w:p>
      <w:pPr>
        <w:pStyle w:val="Heading1"/>
      </w:pPr>
      <w:r>
        <w:t>Retention and rights</w:t>
      </w:r>
    </w:p>
    <w:p>
      <w:r>
        <w:t>Approve retention by record category, audit logs, account metadata, backups, support tickets, and legal holds. Balance minimization/storage limitation with clinical, professional, legal, and regulatory duties. Define access, correction, objection, restriction, portability, deletion where applicable, identity verification, deadlines, exceptions, and escalation. Do not promise deletion where retention is legally required.</w:t>
      </w:r>
    </w:p>
    <w:p>
      <w:pPr>
        <w:pStyle w:val="Heading1"/>
      </w:pPr>
      <w:r>
        <w:t>Breach handling</w:t>
      </w:r>
    </w:p>
    <w:p>
      <w:r>
        <w:t>Define internal escalation and controller/processor notification paths. The NDP Act includes a 72-hour Commission notification requirement for a personal data breach likely to result in risk to individuals' rights and freedoms; counsel must confirm the precise trigger, calculation, content, current process, and affected-person notification duties. Set internal escalation targets much faster than the statutory deadline.</w:t>
      </w:r>
    </w:p>
    <w:p>
      <w:pPr>
        <w:pStyle w:val="Heading1"/>
      </w:pPr>
      <w:r>
        <w:t>Data-sharing and vendor agreements</w:t>
      </w:r>
    </w:p>
    <w:p>
      <w:r>
        <w:t>Include roles/instructions, purpose, data categories, permitted users, security, subprocessors, locations/transfers, retention/deletion, audit rights, assistance with rights requests, incident timelines/cooperation, liability, termination, return/deletion, and change notification.</w:t>
      </w:r>
    </w:p>
    <w:p>
      <w:pPr>
        <w:pStyle w:val="Heading1"/>
      </w:pPr>
      <w:r>
        <w:t>Required outputs and sign-off</w:t>
      </w:r>
    </w:p>
    <w:p>
      <w:r>
        <w:t>Counsel/privacy reviewer should deliver: applicability memo; role map; lawful-basis matrix; DPIA determination/completed DPIA if needed; hosting/transfer opinion; retention schedule; data-sharing templates; privacy notice/consent review; breach decision tree; NDPC registration/filing action list; open risks. Reviewer name/qualification [INSERT]; scope/date [INSERT]; disposition/conditions [PENDING]; signature/reference [INSERT].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MediPassport | Draft for review | Unapproved until signed by authorized owners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