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Clinical Governance Approval</w:t>
      </w:r>
    </w:p>
    <w:p>
      <w:pPr>
        <w:jc w:val="center"/>
      </w:pPr>
      <w:r>
        <w:rPr>
          <w:i/>
          <w:color w:val="147D55"/>
        </w:rPr>
        <w:t>Minimum dataset, patient matching, consent and clinical safety</w:t>
      </w:r>
    </w:p>
    <w:p>
      <w:pPr>
        <w:jc w:val="center"/>
      </w:pPr>
      <w:r>
        <w:rPr>
          <w:color w:val="964119"/>
          <w:sz w:val="17"/>
        </w:rPr>
        <w:t>MediPassport | Prepared 21 October 2026 | DRAFT FOR REVIEW — NOT APPROVED OR SIGNED</w:t>
      </w:r>
    </w:p>
    <w:p>
      <w:pPr>
        <w:pStyle w:val="Heading1"/>
      </w:pPr>
      <w:r>
        <w:t>Status and accountable reviewer</w:t>
      </w:r>
    </w:p>
    <w:p>
      <w:r>
        <w:t>Draft only. Approval required from a named, appropriately qualified clinical governance lead with facility, privacy, and security input. This template does not authorize clinical use.</w:t>
      </w:r>
    </w:p>
    <w:p>
      <w:pPr>
        <w:pStyle w:val="Heading1"/>
      </w:pPr>
      <w:r>
        <w:t>Clinical purpose and limits</w:t>
      </w:r>
    </w:p>
    <w:p>
      <w:r>
        <w:t>MediPassport supports continuity of care by making existing information available to authorized care teams. It must not imply that imported, patient-entered, incomplete, or stale information is a verified diagnosis or a substitute for clinical assessment.</w:t>
      </w:r>
    </w:p>
    <w:p>
      <w:pPr>
        <w:pStyle w:val="Heading1"/>
      </w:pPr>
      <w:r>
        <w:t>Proposed minimum dataset</w:t>
      </w:r>
    </w:p>
    <w:p>
      <w:r>
        <w:t>Patient identity/matching identifiers; encounter date and facility; clinician/role where available; allergies/reactions/status; active and historical medications with dates/status; conditions/diagnoses and source; vital signs with units/timestamps; lab observations and reports with units/reference ranges when supplied; imaging report/document reference; procedures; immunizations if in scope; referrals; discharge summaries; care instructions where approved; provenance and verification status. Clinical governance must approve mandatory fields and exclusions.</w:t>
      </w:r>
    </w:p>
    <w:p>
      <w:pPr>
        <w:pStyle w:val="Heading1"/>
      </w:pPr>
      <w:r>
        <w:t>Provenance and data quality</w:t>
      </w:r>
    </w:p>
    <w:p>
      <w:r>
        <w:t>Preserve source facility/system, source identifier, author/submitting user, clinical date, ingestion date, status, verification method, and correction history. Display missing, unknown, stale, conflicting, and unverified data explicitly. Preserve original values and units alongside any normalization.</w:t>
      </w:r>
    </w:p>
    <w:p>
      <w:pPr>
        <w:pStyle w:val="Heading1"/>
      </w:pPr>
      <w:r>
        <w:t>Patient matching</w:t>
      </w:r>
    </w:p>
    <w:p>
      <w:r>
        <w:t>Use approved identifiers and rules; never rely on name alone. Define confidence thresholds, duplicate review, human verification, merge/unmerge authority, audit trail, and response to wrong-patient disclosure. No automatic merge below approved confidence or where material conflicts exist.</w:t>
      </w:r>
    </w:p>
    <w:p>
      <w:pPr>
        <w:pStyle w:val="Heading1"/>
      </w:pPr>
      <w:r>
        <w:t>Correction and dispute</w:t>
      </w:r>
    </w:p>
    <w:p>
      <w:r>
        <w:t>Allow patients/providers to report inaccuracies. Preserve source record, log dispute/correction request, route to source or authorized reviewer, track status, and retain audit history. Do not silently overwrite imported records. Define urgent safety correction alerts.</w:t>
      </w:r>
    </w:p>
    <w:p>
      <w:pPr>
        <w:pStyle w:val="Heading1"/>
      </w:pPr>
      <w:r>
        <w:t>Consent and sharing</w:t>
      </w:r>
    </w:p>
    <w:p>
      <w:r>
        <w:t>Patient-facing wording identifies recipient, purpose, categories/date range, duration, and revocation effects. Separate optional secondary use from direct-care sharing where required. Record consent version, timestamp, method, scope, recipient, and withdrawal. Explain that revocation stops future access but cannot retract information already lawfully viewed or copied.</w:t>
      </w:r>
    </w:p>
    <w:p>
      <w:pPr>
        <w:pStyle w:val="Heading1"/>
      </w:pPr>
      <w:r>
        <w:t>Caregiver/representative</w:t>
      </w:r>
    </w:p>
    <w:p>
      <w:r>
        <w:t>Define identity verification, legal authority, scope, duration, capacity, child/guardian arrangements, proxy access, revocation, and audit. Caregiver status alone must not automatically grant access.</w:t>
      </w:r>
    </w:p>
    <w:p>
      <w:pPr>
        <w:pStyle w:val="Heading1"/>
      </w:pPr>
      <w:r>
        <w:t>Emergency / break-glass</w:t>
      </w:r>
    </w:p>
    <w:p>
      <w:r>
        <w:t>Only designated authenticated clinical roles; reason mandatory; approved limited emergency summary; short expiry; full event logging; patient alert when feasible and safe; retrospective review; misuse consequences. Define uncertain identity and connectivity-failure handling. Emergency access is not a general bypass. Keep disabled until specifically approved.</w:t>
      </w:r>
    </w:p>
    <w:p>
      <w:pPr>
        <w:pStyle w:val="Heading1"/>
      </w:pPr>
      <w:r>
        <w:t>Clinical safety and acceptance</w:t>
      </w:r>
    </w:p>
    <w:p>
      <w:r>
        <w:t>Test wrong-patient prevention, source/freshness labels, unverified labels, consent scope, QR protection, correction/conflict handling, units/dates, unavailable/stale states, access logs, and prohibited clinical inference. Maintain hazard register for wrong-patient disclosure, stale medication, missing allergy, unit error, conflicting results, proxy misuse, emergency misuse, and misunderstood consent. No unresolved critical clinical hazards at pilot approval.</w:t>
      </w:r>
    </w:p>
    <w:p>
      <w:pPr>
        <w:pStyle w:val="Heading1"/>
      </w:pPr>
      <w:r>
        <w:t>Sign-off</w:t>
      </w:r>
    </w:p>
    <w:p>
      <w:r>
        <w:t>Clinical lead/name/qualification [INSERT]; facility representatives [INSERT]; minimum dataset version [INSERT]; emergency access [DISABLED / APPROVED WITH CONDITIONS / OTHER]; conditions [INSERT]; disposition/date/signature [PENDING].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MediPassport | Draft for review | Unapproved until signed by authorized owners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