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Platform Decision Record</w:t>
      </w:r>
    </w:p>
    <w:p>
      <w:pPr>
        <w:jc w:val="center"/>
      </w:pPr>
      <w:r>
        <w:rPr>
          <w:i/>
          <w:color w:val="147D55"/>
        </w:rPr>
        <w:t>Provisional architecture and interoperability decisions</w:t>
      </w:r>
    </w:p>
    <w:p>
      <w:pPr>
        <w:jc w:val="center"/>
      </w:pPr>
      <w:r>
        <w:rPr>
          <w:color w:val="964119"/>
          <w:sz w:val="17"/>
        </w:rPr>
        <w:t>MediPassport | Prepared 21 October 2026 | DRAFT FOR REVIEW — NOT APPROVED OR SIGNED</w:t>
      </w:r>
    </w:p>
    <w:p>
      <w:pPr>
        <w:pStyle w:val="Heading1"/>
      </w:pPr>
      <w:r>
        <w:t>Status and method</w:t>
      </w:r>
    </w:p>
    <w:p>
      <w:r>
        <w:t>The choices below are proposed defaults, not approved production decisions. Platform/Technical Owner [NAME]; Security/Operations Owner [NAME]; Legal/Privacy Owner [NAME]; Executive Gate Owner [NAME]. Record alternatives, evidence, decision, date, and reviewer for each item.</w:t>
      </w:r>
    </w:p>
    <w:p>
      <w:pPr>
        <w:pStyle w:val="Heading1"/>
      </w:pPr>
      <w:r>
        <w:t>Hosting and region</w:t>
      </w:r>
    </w:p>
    <w:p>
      <w:r>
        <w:t>Preferred: production hosting in a Nigerian region if availability, security, support, and contractual terms are acceptable. Separate development/test/staging/production. If a Nigerian region is unsuitable/unavailable, require documented data-flow/transfer assessment, legal opinion, security and subprocessor review, and executive approval before real patient data. Provider/region/backups/logs/support access [TO BE SELECTED].</w:t>
      </w:r>
    </w:p>
    <w:p>
      <w:pPr>
        <w:pStyle w:val="Heading1"/>
      </w:pPr>
      <w:r>
        <w:t>Supported versions and lifecycle</w:t>
      </w:r>
    </w:p>
    <w:p>
      <w:r>
        <w:t>Maintain a version register for app, OS/base images, runtime, database, dependencies, FHIR profiles, APIs, and adapters. Use supported versions with security updates; pin versions; scan dependencies; define patch SLAs and end-of-life migration. Exact versions and owners [PENDING].</w:t>
      </w:r>
    </w:p>
    <w:p>
      <w:pPr>
        <w:pStyle w:val="Heading1"/>
      </w:pPr>
      <w:r>
        <w:t>Authentication and authorization</w:t>
      </w:r>
    </w:p>
    <w:p>
      <w:r>
        <w:t>Proposed: OpenID Connect/OAuth 2.0 where suitable, short-lived tokens, server-side authorization, least privilege, MFA for staff/privileged accounts, contextual checks (patient/facility/purpose/scope/expiry), secure recovery, session revocation, and rotated service credentials. Decide patient identity-proofing level by risk.</w:t>
      </w:r>
    </w:p>
    <w:p>
      <w:pPr>
        <w:pStyle w:val="Heading1"/>
      </w:pPr>
      <w:r>
        <w:t>Private storage</w:t>
      </w:r>
    </w:p>
    <w:p>
      <w:r>
        <w:t>Clinical documents in private object storage, not public web paths. Encryption, narrow access, time-limited download links, file validation, malware scanning, access logs, retention/deletion controls, protected backups, key ownership and rotation. Avoid sensitive identifiers in public URLs.</w:t>
      </w:r>
    </w:p>
    <w:p>
      <w:pPr>
        <w:pStyle w:val="Heading1"/>
      </w:pPr>
      <w:r>
        <w:t>Email/SMS</w:t>
      </w:r>
    </w:p>
    <w:p>
      <w:r>
        <w:t>Select providers after security/privacy, location, subprocessors, contract, delivery, and cost review. Notifications must contain minimal content and no sensitive diagnosis. Verify contact ownership; do not rely on SMS alone for high-risk authentication. Provider/region/retention/templates/fallback [PENDING].</w:t>
      </w:r>
    </w:p>
    <w:p>
      <w:pPr>
        <w:pStyle w:val="Heading1"/>
      </w:pPr>
      <w:r>
        <w:t>FHIR and interoperability</w:t>
      </w:r>
    </w:p>
    <w:p>
      <w:r>
        <w:t>Proposed baseline: HL7 FHIR R4 where partner capability supports it. Confirm release and profiles with pilot partners and applicable national guidance before freezing contracts. Candidate resources: Patient, Practitioner, PractitionerRole, Organization, Encounter, Condition, Observation, DiagnosticReport, MedicationRequest/MedicationStatement, AllergyIntolerance, DocumentReference, Consent, Provenance, AuditEvent, and referral-related resources as appropriate. Define identifiers, terminology, units, required fields, and local mappings.</w:t>
      </w:r>
    </w:p>
    <w:p>
      <w:pPr>
        <w:pStyle w:val="Heading1"/>
      </w:pPr>
      <w:r>
        <w:t>Integration protocol</w:t>
      </w:r>
    </w:p>
    <w:p>
      <w:r>
        <w:t>Versioned HTTPS APIs; FHIR REST where supported; partner adapters for non-FHIR systems; explicit scopes; service identity such as mutual TLS where justified; idempotency for writes; correlation IDs; rate limits; retry/backoff; dead-letter handling; sync status. Do not assume every partner supports every FHIR interaction.</w:t>
      </w:r>
    </w:p>
    <w:p>
      <w:pPr>
        <w:pStyle w:val="Heading1"/>
      </w:pPr>
      <w:r>
        <w:t>Source ownership and decisions to record</w:t>
      </w:r>
    </w:p>
    <w:p>
      <w:r>
        <w:t>Name authoritative source per field/resource; preserve source IDs/provenance; define conflict handling and stale indicators; route corrections to source/approved workflow. Decision log: hosting/region [PENDING]; auth [PENDING]; storage [PENDING]; email/SMS [PENDING]; FHIR release/profiles [PENDING]; API protocol [PENDING]; backup region [PENDING]; supported versions [PENDING].</w:t>
      </w:r>
    </w:p>
    <w:p>
      <w:pPr>
        <w:pStyle w:val="Heading1"/>
      </w:pPr>
      <w:r>
        <w:t>Approval conditions and sign-off</w:t>
      </w:r>
    </w:p>
    <w:p>
      <w:r>
        <w:t>No production patient data until region/transfers are approved; contracts/vendor terms executed; versions and support windows recorded; partner profiles tested; authorization tests pass; and security/operations plus executive approvals are recorded. Technical [PENDING]; Security [PENDING]; Legal [PENDING]; Product [PENDING]; Gate Owner [PENDING]; date/conditions [PENDING].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MediPassport | Draft for review | Unapproved until signed by authorized owners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