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and Operations Approval</w:t>
      </w:r>
    </w:p>
    <w:p>
      <w:pPr>
        <w:jc w:val="center"/>
      </w:pPr>
      <w:r>
        <w:rPr>
          <w:i/>
          <w:color w:val="147D55"/>
        </w:rPr>
        <w:t>Threat model, MFA, audit, incidents and recovery</w:t>
      </w:r>
    </w:p>
    <w:p>
      <w:pPr>
        <w:jc w:val="center"/>
      </w:pPr>
      <w:r>
        <w:rPr>
          <w:color w:val="964119"/>
          <w:sz w:val="17"/>
        </w:rPr>
        <w:t>MediPassport | Prepared 21 October 2026 | DRAFT FOR REVIEW — NOT APPROVED OR SIGNED</w:t>
      </w:r>
    </w:p>
    <w:p>
      <w:pPr>
        <w:pStyle w:val="Heading1"/>
      </w:pPr>
      <w:r>
        <w:t>Status and approval required</w:t>
      </w:r>
    </w:p>
    <w:p>
      <w:r>
        <w:t>Draft only. Security/Operations Owner [NAME]. Evidence is required; checklist declarations alone do not constitute approval.</w:t>
      </w:r>
    </w:p>
    <w:p>
      <w:pPr>
        <w:pStyle w:val="Heading1"/>
      </w:pPr>
      <w:r>
        <w:t>Threat-model scope</w:t>
      </w:r>
    </w:p>
    <w:p>
      <w:r>
        <w:t>Cover patient app/web; provider portal; admin console; identity/matching; consent/authorization; API/FHIR gateway; partner adapters; document storage; email/SMS; audit logs; secrets/keys; backups; cloud control plane; CI/CD/software supply chain; support access; facility endpoints; and third parties. Threats include account takeover, privilege abuse, cross-facility access, wrong-patient linkage, QR/token theft, insecure object access, exfiltration, malicious uploads, API abuse, ransomware, insider misuse, log tampering, supply-chain compromise, and denial of service.</w:t>
      </w:r>
    </w:p>
    <w:p>
      <w:pPr>
        <w:pStyle w:val="Heading1"/>
      </w:pPr>
      <w:r>
        <w:t>MFA and privileged access</w:t>
      </w:r>
    </w:p>
    <w:p>
      <w:r>
        <w:t>Require MFA for staff, administrators, clinical users, and vendor/support access. Use phishing-resistant MFA for privileged roles where feasible. Named accounts only; no shared admin accounts; periodic access reviews; prompt deprovisioning; just-in-time elevation where practical; log admin actions.</w:t>
      </w:r>
    </w:p>
    <w:p>
      <w:pPr>
        <w:pStyle w:val="Heading1"/>
      </w:pPr>
      <w:r>
        <w:t>Authorization and audit</w:t>
      </w:r>
    </w:p>
    <w:p>
      <w:r>
        <w:t>Enforce authorization server-side on every read/write. Test object-level, facility/tenant, role, scope, consent, expiry, and emergency rules. Log actor, patient/resource, facility, purpose, action, timestamp, result, authorization basis, and emergency flag without unnecessary clinical payloads. Protect logs against alteration and restrict access.</w:t>
      </w:r>
    </w:p>
    <w:p>
      <w:pPr>
        <w:pStyle w:val="Heading1"/>
      </w:pPr>
      <w:r>
        <w:t>Audit retention</w:t>
      </w:r>
    </w:p>
    <w:p>
      <w:r>
        <w:t>Legal/privacy and clinical governance must set duration after reviewing statutory, contractual, clinical, and operational needs. Requirement: tamper-resistant, restricted audit logs and a documented retention/deletion policy. Exact duration [PENDING]; do not assume a number without approval.</w:t>
      </w:r>
    </w:p>
    <w:p>
      <w:pPr>
        <w:pStyle w:val="Heading1"/>
      </w:pPr>
      <w:r>
        <w:t>Incident response</w:t>
      </w:r>
    </w:p>
    <w:p>
      <w:r>
        <w:t>Name incident commander, security, privacy/legal, clinical safety, communications, and facility contacts. Define severity, escalation, evidence preservation, containment, token/credential revocation, partner isolation, risk assessment, regulatory/data-subject notification decision, recovery, and post-incident review. Tabletop scenarios: wrong-patient disclosure, stolen provider credentials, ransomware, exposed share link, compromised integration.</w:t>
      </w:r>
    </w:p>
    <w:p>
      <w:pPr>
        <w:pStyle w:val="Heading1"/>
      </w:pPr>
      <w:r>
        <w:t>Breach escalation</w:t>
      </w:r>
    </w:p>
    <w:p>
      <w:r>
        <w:t>Escalate suspected incidents immediately to Security/Operations and promptly to privacy/legal for statutory assessment. The NDP Act includes a 72-hour Commission notification requirement for qualifying breaches; counsel must confirm the trigger and notification duties. Internal processes must not wait until the statutory deadline.</w:t>
      </w:r>
    </w:p>
    <w:p>
      <w:pPr>
        <w:pStyle w:val="Heading1"/>
      </w:pPr>
      <w:r>
        <w:t>Backup and recovery</w:t>
      </w:r>
    </w:p>
    <w:p>
      <w:r>
        <w:t>Encrypted, access-controlled, monitored backups for databases, documents, configuration, and required keys. Consider immutable/offline protection, separate credentials, retention, restore testing, and recovery order. Test restore before pilot and at an approved recurring interval.</w:t>
      </w:r>
    </w:p>
    <w:p>
      <w:pPr>
        <w:pStyle w:val="Heading1"/>
      </w:pPr>
      <w:r>
        <w:t>Proposed RPO/RTO — not approved</w:t>
      </w:r>
    </w:p>
    <w:p>
      <w:r>
        <w:t>Proposed for feasibility review: core patient index/consent/audit metadata RPO ≤15 minutes and RTO ≤4 hours; documents and non-critical integration queues RPO ≤4 hours and RTO ≤8 hours. Service owner must confirm cost/feasibility/clinical impact and replace these with approved targets if needed. Approved values and evidence [PENDING].</w:t>
      </w:r>
    </w:p>
    <w:p>
      <w:pPr>
        <w:pStyle w:val="Heading1"/>
      </w:pPr>
      <w:r>
        <w:t>Security acceptance criteria</w:t>
      </w:r>
    </w:p>
    <w:p>
      <w:r>
        <w:t>No unresolved critical/high vulnerabilities; MFA enabled for all staff/privileged accounts; object-level and consent tests pass; expired/revoked links fail; QR contains no clinical data; audit logs protected/queryable; incident contacts and breach decision tree approved; restore meets approved RPO/RTO; monitoring active; no secrets in source control; dependency/image scans reviewed; penetration-test findings closed or formally risk-accepted by authorized owner.</w:t>
      </w:r>
    </w:p>
    <w:p>
      <w:pPr>
        <w:pStyle w:val="Heading1"/>
      </w:pPr>
      <w:r>
        <w:t>Operations readiness and evidence</w:t>
      </w:r>
    </w:p>
    <w:p>
      <w:r>
        <w:t>Named service owner/support path; uptime, latency, error, access, queue and integration monitoring; alert thresholds; runbooks for outage, sync failure, wrong match, compromise, breach, restore, rollback and key rotation; patch schedule; vendor escalation; pilot support instructions. Evidence links: threat model [INSERT]; DPIA [INSERT]; access tests [INSERT]; scans/penetration test [INSERT]; restore report [INSERT]; tabletop report [INSERT]; monitoring/runbook versions [INSERT]; open risks [INSERT].</w:t>
      </w:r>
    </w:p>
    <w:p>
      <w:pPr>
        <w:pStyle w:val="Heading1"/>
      </w:pPr>
      <w:r>
        <w:t>Sign-off</w:t>
      </w:r>
    </w:p>
    <w:p>
      <w:r>
        <w:t>Security/Operations [PENDING]; Platform/Technical [PENDING]; Legal/Privacy [PENDING]; Clinical Safety [PENDING]; Executive Gate Owner [PENDING]. Disposition, conditions, date and signature/reference [PENDING].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MediPassport | Draft for review | Unapproved until signed by authorized owners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