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MediPassport Governance and Approval Package</w:t>
      </w:r>
    </w:p>
    <w:p>
      <w:pPr>
        <w:jc w:val="center"/>
      </w:pPr>
      <w:r>
        <w:t>Six coordinated governance drafts | 21 October 2026</w:t>
      </w:r>
    </w:p>
    <w:p>
      <w:pPr>
        <w:jc w:val="center"/>
      </w:pPr>
      <w:r>
        <w:rPr>
          <w:b/>
          <w:color w:val="964119"/>
        </w:rPr>
        <w:t>MediPassport | Prepared 21 October 2026 | DRAFT FOR REVIEW — NOT APPROVED OR SIGNED</w:t>
      </w:r>
    </w:p>
    <w:p>
      <w:pPr>
        <w:pStyle w:val="Heading1"/>
      </w:pPr>
      <w:r>
        <w:t>How to use this package</w:t>
      </w:r>
    </w:p>
    <w:p>
      <w:r>
        <w:t>These are drafts for stakeholder review. The Phase 0 record identified roles but did not provide individual names, signed dispositions, conditions, or an executive gate decision. Do not treat blank fields or proposed defaults as approvals. Complete owner, evidence, disposition, date, and signature fields. Real patient data, live clinical use, production integration, and production deployment remain blocked until applicable approvals are documented.</w:t>
      </w:r>
    </w:p>
    <w:p>
      <w:pPr>
        <w:pStyle w:val="Heading1"/>
      </w:pPr>
      <w:r>
        <w:t>Documents included</w:t>
      </w:r>
    </w:p>
    <w:p>
      <w:r>
        <w:t>1. Phase 0 Decision and Approval Letter</w:t>
      </w:r>
    </w:p>
    <w:p>
      <w:r>
        <w:t>2. Product and Pilot Scope</w:t>
      </w:r>
    </w:p>
    <w:p>
      <w:r>
        <w:t>3. Legal and Privacy Review</w:t>
      </w:r>
    </w:p>
    <w:p>
      <w:r>
        <w:t>4. Clinical Governance Approval</w:t>
      </w:r>
    </w:p>
    <w:p>
      <w:r>
        <w:t>5. Platform Decision Record</w:t>
      </w:r>
    </w:p>
    <w:p>
      <w:r>
        <w:t>6. Security and Operations Approval</w:t>
      </w:r>
    </w:p>
    <w:p>
      <w:r>
        <w:br w:type="page"/>
      </w:r>
    </w:p>
    <w:p>
      <w:pPr>
        <w:pStyle w:val="Title"/>
      </w:pPr>
      <w:r>
        <w:t>Phase 0 Decision and Approval Letter</w:t>
      </w:r>
    </w:p>
    <w:p>
      <w:pPr>
        <w:jc w:val="center"/>
      </w:pPr>
      <w:r>
        <w:t>Decision record and executive gate</w:t>
      </w:r>
    </w:p>
    <w:p>
      <w:r>
        <w:rPr>
          <w:b/>
          <w:color w:val="964119"/>
        </w:rPr>
        <w:t>MediPassport | Prepared 21 October 2026 | DRAFT FOR REVIEW — NOT APPROVED OR SIGNED</w:t>
      </w:r>
    </w:p>
    <w:p>
      <w:pPr>
        <w:pStyle w:val="Heading1"/>
      </w:pPr>
      <w:r>
        <w:t>Purpose</w:t>
      </w:r>
    </w:p>
    <w:p>
      <w:r>
        <w:t>This letter records the decisions required to close Phase 0. The earlier record identified accountable roles only; it did not supply individual names, signed dispositions, conditions, or an executive gate decision. Do not treat blanks as approval.</w:t>
      </w:r>
    </w:p>
    <w:p>
      <w:pPr>
        <w:pStyle w:val="Heading1"/>
      </w:pPr>
      <w:r>
        <w:t>Interim gate position</w:t>
      </w:r>
    </w:p>
    <w:p>
      <w:r>
        <w:t>Until all required decisions are documented, work is limited to synthetic-data development, environment separation, API/application foundations, CI, and baseline security controls. Prohibited pending approval: real patient data, patient-facing clinical workflows, live clinical use, production integrations, production deployment, and live pilot activity.</w:t>
      </w:r>
    </w:p>
    <w:p>
      <w:pPr>
        <w:pStyle w:val="Heading1"/>
      </w:pPr>
      <w:r>
        <w:t>Owner decision register</w:t>
      </w:r>
    </w:p>
    <w:p>
      <w:r>
        <w:t>Product / Integration Owner — Name [INSERT]; disposition [PENDING: APPROVE / APPROVE WITH CONDITIONS / REJECT / DEFER]; conditions/evidence [INSERT]; date [INSERT]; signature/reference [INSERT].</w:t>
      </w:r>
    </w:p>
    <w:p>
      <w:r>
        <w:t>Legal / Privacy Owner — Name [INSERT]; disposition [PENDING]; conditions/evidence [INSERT]; date [INSERT]; signature/reference [INSERT].</w:t>
      </w:r>
    </w:p>
    <w:p>
      <w:r>
        <w:t>Clinical Safety Owner — Name [INSERT]; disposition [PENDING]; conditions/evidence [INSERT]; date [INSERT]; signature/reference [INSERT].</w:t>
      </w:r>
    </w:p>
    <w:p>
      <w:r>
        <w:t>Platform / Technical Owner — Name [INSERT]; disposition [PENDING]; conditions/evidence [INSERT]; date [INSERT]; signature/reference [INSERT].</w:t>
      </w:r>
    </w:p>
    <w:p>
      <w:r>
        <w:t>Security / Operations Owner — Name [INSERT]; disposition [PENDING]; conditions/evidence [INSERT]; date [INSERT]; signature/reference [INSERT].</w:t>
      </w:r>
    </w:p>
    <w:p>
      <w:r>
        <w:t>Executive Sponsor / Phase 0 Gate Owner — Name [INSERT]; overall gate decision [PENDING]; rationale [INSERT]; conditions [INSERT]; effective date [INSERT]; signature/reference [INSERT].</w:t>
      </w:r>
    </w:p>
    <w:p>
      <w:pPr>
        <w:pStyle w:val="Heading1"/>
      </w:pPr>
      <w:r>
        <w:t>Conditions before Phase 1 with real data</w:t>
      </w:r>
    </w:p>
    <w:p>
      <w:r>
        <w:t>Require: signed product/pilot scope and facility list; written Mediflow sandbox/data-use authorization; qualified Nigerian legal/privacy review; clinical governance approval; completed platform decision record; security/operations readiness approval; risk register with critical/high risks closed or explicitly risk-accepted by an authorized owner; and a recorded executive gate decision.</w:t>
      </w:r>
    </w:p>
    <w:p>
      <w:pPr>
        <w:pStyle w:val="Heading1"/>
      </w:pPr>
      <w:r>
        <w:t>Executive gate decision — must be completed by the gate owner</w:t>
      </w:r>
    </w:p>
    <w:p>
      <w:r>
        <w:t>Decision [APPROVE / APPROVE WITH CONDITIONS / REJECT / DEFER]; approved scope [INSERT]; explicit exclusions [INSERT]; conditions and owners [INSERT]; evidence reviewed [INSERT]; rationale [INSERT]; effective/review dates [INSERT]; Executive Sponsor/Gate Owner name and signature [INSERT].</w:t>
      </w:r>
    </w:p>
    <w:p>
      <w:pPr>
        <w:pStyle w:val="Heading1"/>
      </w:pPr>
      <w:r>
        <w:t>Recordkeeping and change control</w:t>
      </w:r>
    </w:p>
    <w:p>
      <w:r>
        <w:t>Store this letter with signed approvals, evidence links, version identifiers, and meeting minutes. Any material change to data types, participating facilities, hosting, access rules, clinical use, or security assumptions must be reviewed by the relevant owner and gate.</w:t>
      </w:r>
    </w:p>
    <w:p>
      <w:r>
        <w:br w:type="page"/>
      </w:r>
    </w:p>
    <w:p>
      <w:pPr>
        <w:pStyle w:val="Title"/>
      </w:pPr>
      <w:r>
        <w:t>Product and Pilot Scope</w:t>
      </w:r>
    </w:p>
    <w:p>
      <w:pPr>
        <w:jc w:val="center"/>
      </w:pPr>
      <w:r>
        <w:t>First release, facility selection, Mediflow rights and acceptance</w:t>
      </w:r>
    </w:p>
    <w:p>
      <w:r>
        <w:rPr>
          <w:b/>
          <w:color w:val="964119"/>
        </w:rPr>
        <w:t>MediPassport | Prepared 21 October 2026 | DRAFT FOR REVIEW — NOT APPROVED OR SIGNED</w:t>
      </w:r>
    </w:p>
    <w:p>
      <w:pPr>
        <w:pStyle w:val="Heading1"/>
      </w:pPr>
      <w:r>
        <w:t>Status and purpose</w:t>
      </w:r>
    </w:p>
    <w:p>
      <w:r>
        <w:t>Draft for review. Product / Integration Owner [NAME]. Executive Sponsor [NAME]. This document must be approved before live pilot activity or processing real patient data.</w:t>
      </w:r>
    </w:p>
    <w:p>
      <w:pPr>
        <w:pStyle w:val="Heading1"/>
      </w:pPr>
      <w:r>
        <w:t>Product objective</w:t>
      </w:r>
    </w:p>
    <w:p>
      <w:r>
        <w:t>Validate that MediPassport can securely make relevant patient information available to appropriately authorized care providers across participating facilities, including Mediflow-connected facilities and facilities using other EHRs or an approved provider portal.</w:t>
      </w:r>
    </w:p>
    <w:p>
      <w:pPr>
        <w:pStyle w:val="Heading1"/>
      </w:pPr>
      <w:r>
        <w:t>First-release scope — proposed</w:t>
      </w:r>
    </w:p>
    <w:p>
      <w:r>
        <w:t>Patient account and identity workflow; facility/practitioner registry and verification; record index/timeline; source/date/author/verification labels; structured data and controlled document references; patient-initiated sharing and provider access requests; time-limited scoped access; consent capture/revocation; provider portal for approved no-EHR workflows; access history/audit; basic referral workflow; Mediflow sandbox integration; monitoring and support procedures.</w:t>
      </w:r>
    </w:p>
    <w:p>
      <w:pPr>
        <w:pStyle w:val="Heading1"/>
      </w:pPr>
      <w:r>
        <w:t>Explicit exclusions</w:t>
      </w:r>
    </w:p>
    <w:p>
      <w:r>
        <w:t>No autonomous diagnosis/treatment advice; no replacement of Mediflow or other EHRs; no unrestricted cross-facility search; no public QR access or clinical data embedded in QR; no live clinical use before approvals; no production integration/deployment before gate approval; no bulk historical import unless separately authorized; no production data in development/testing unless lawful basis, authorization, and safeguards are documented.</w:t>
      </w:r>
    </w:p>
    <w:p>
      <w:pPr>
        <w:pStyle w:val="Heading1"/>
      </w:pPr>
      <w:r>
        <w:t>Pilot facilities — names pending</w:t>
      </w:r>
    </w:p>
    <w:p>
      <w:r>
        <w:t>Do not invent facilities. For each proposed facility record: name [INSERT], type [hospital/clinic/lab/pharmacy/specialist], location [INSERT], EHR/portal path [INSERT], accountable lead [INSERT], legal role [TO BE REVIEWED], scope [INSERT], signed participation/data-sharing agreement [YES/NO], readiness date [INSERT]. Aim to include one Mediflow-connected facility and, if feasible, one independent EHR or no-EHR participant.</w:t>
      </w:r>
    </w:p>
    <w:p>
      <w:pPr>
        <w:pStyle w:val="Heading1"/>
      </w:pPr>
      <w:r>
        <w:t>Mediflow sandbox and data rights</w:t>
      </w:r>
    </w:p>
    <w:p>
      <w:r>
        <w:t>Before integration: obtain written authorization from the system/data owner; name technical contacts; record sandbox endpoint/version, API scopes, permitted fields, test window, rate limits, security requirements, incident contact, IP/derivative-work terms, restrictions on copying/export, log permissions, retention/deletion at test end, and revocation process. Default to synthetic data only. Access to Mediflow software does not itself grant rights to patient data. Any real data requires separately documented lawful basis, authorization, agreements, and privacy/security approval.</w:t>
      </w:r>
    </w:p>
    <w:p>
      <w:pPr>
        <w:pStyle w:val="Heading1"/>
      </w:pPr>
      <w:r>
        <w:t>Acceptance criteria — proposed</w:t>
      </w:r>
    </w:p>
    <w:p>
      <w:r>
        <w:t>All facilities/users verified; no unresolved false patient merges; uncertain matches route to manual review; each displayed record shows source/date and verification status; consent and scope enforced server-side; expired/revoked grants fail; QR carries no clinical content and scanning alone reveals nothing; access and emergency events logged; stale/sync failure status visible; no open critical/high security defects at go-live; backup restore and incident tabletop pass; facility leads sign acceptance and escalation routes are tested.</w:t>
      </w:r>
    </w:p>
    <w:p>
      <w:pPr>
        <w:pStyle w:val="Heading1"/>
      </w:pPr>
      <w:r>
        <w:t>Pilot metrics and sign-off</w:t>
      </w:r>
    </w:p>
    <w:p>
      <w:r>
        <w:t>Measure retrieval time, matching success/ambiguity, provenance completeness, sync failures, provider workflow completion, patient understanding, and referral status. Duplicate-investigation reduction should be measured only where baseline data and methodology are valid. Product owner [PENDING]; facility leads [PENDING]; legal/privacy [PENDING]; clinical safety [PENDING]; security/operations [PENDING]; executive gate [PENDING].</w:t>
      </w:r>
    </w:p>
    <w:p>
      <w:r>
        <w:br w:type="page"/>
      </w:r>
    </w:p>
    <w:p>
      <w:pPr>
        <w:pStyle w:val="Title"/>
      </w:pPr>
      <w:r>
        <w:t>Legal and Privacy Review</w:t>
      </w:r>
    </w:p>
    <w:p>
      <w:pPr>
        <w:jc w:val="center"/>
      </w:pPr>
      <w:r>
        <w:t>Issues for qualified Nigerian counsel and privacy professional</w:t>
      </w:r>
    </w:p>
    <w:p>
      <w:r>
        <w:rPr>
          <w:b/>
          <w:color w:val="964119"/>
        </w:rPr>
        <w:t>MediPassport | Prepared 21 October 2026 | DRAFT FOR REVIEW — NOT APPROVED OR SIGNED</w:t>
      </w:r>
    </w:p>
    <w:p>
      <w:pPr>
        <w:pStyle w:val="Heading1"/>
      </w:pPr>
      <w:r>
        <w:t>Status and limitation</w:t>
      </w:r>
    </w:p>
    <w:p>
      <w:r>
        <w:t>This is an issue-spotting template, not legal advice or a legal sign-off. A qualified Nigerian lawyer and privacy professional must verify applicable law, current directives, facts, and required actions before real patient data is processed.</w:t>
      </w:r>
    </w:p>
    <w:p>
      <w:pPr>
        <w:pStyle w:val="Heading1"/>
      </w:pPr>
      <w:r>
        <w:t>Primary references</w:t>
      </w:r>
    </w:p>
    <w:p>
      <w:r>
        <w:t>Review the Nigeria Data Protection Act 2023 (NDP Act), NDPC General Application and Implementation Directive (GAID) 2025 and current NDPC guidance, constitutional privacy protections, and any applicable health-sector, professional, child-protection, cybersecurity, contractual, state, or federal requirements. Confirm current versions and amendments.</w:t>
      </w:r>
    </w:p>
    <w:p>
      <w:pPr>
        <w:pStyle w:val="Heading1"/>
      </w:pPr>
      <w:r>
        <w:t>Official starting points</w:t>
      </w:r>
    </w:p>
    <w:p>
      <w:r>
        <w:t>NDP Act 2023: https://ndpc.gov.ng/download/nigeria-data-protection-act-2023</w:t>
      </w:r>
    </w:p>
    <w:p>
      <w:r>
        <w:t>NDPC GAID 2025: https://ndpc.gov.ng/wp-content/uploads/2025/07/NDP-ACT-GAID-2025-MARCH-20TH.pdf</w:t>
      </w:r>
    </w:p>
    <w:p>
      <w:r>
        <w:t>NDPC resources: https://ndpc.gov.ng/resources/</w:t>
      </w:r>
    </w:p>
    <w:p>
      <w:pPr>
        <w:pStyle w:val="Heading1"/>
      </w:pPr>
      <w:r>
        <w:t>Roles and accountability</w:t>
      </w:r>
    </w:p>
    <w:p>
      <w:r>
        <w:t>Map each processing activity and determine whether MediPassport operator, each facility, Mediflow, hosting provider, messaging provider, and integration partner act as controller, joint controller, processor, or another role. Document who determines purpose/means, handles rights requests, approves disclosures, maintains processing records, and manages regulatory/data-subject notifications.</w:t>
      </w:r>
    </w:p>
    <w:p>
      <w:pPr>
        <w:pStyle w:val="Heading1"/>
      </w:pPr>
      <w:r>
        <w:t>Lawful purposes and health data</w:t>
      </w:r>
    </w:p>
    <w:p>
      <w:r>
        <w:t>For each activity document purpose, data categories, subjects, recipients, retention, and lawful basis. Review direct care, patient-directed sharing, identity resolution, emergency access, security monitoring, analytics, and support separately. Assess necessity, proportionality, transparency, and whether a DPIA is required or prudent. Do not assume consent is the lawful basis for every activity.</w:t>
      </w:r>
    </w:p>
    <w:p>
      <w:pPr>
        <w:pStyle w:val="Heading1"/>
      </w:pPr>
      <w:r>
        <w:t>Residency and cross-border transfers</w:t>
      </w:r>
    </w:p>
    <w:p>
      <w:r>
        <w:t>Determine whether law, sector rule, contract, procurement term, or risk assessment requires local hosting for any particular data/service. Do not claim all health data must be hosted in Nigeria unless counsel confirms it for the relevant facts. Document locations of primary data, backups, logs, telemetry, support access, and subprocessors. For cross-border transfers assess legal basis/safeguards, onward transfers, foreign access, contracts, and notice. Preferred default: Nigerian-region hosting if feasible; any alternative needs documented legal, security, and executive approval.</w:t>
      </w:r>
    </w:p>
    <w:p>
      <w:pPr>
        <w:pStyle w:val="Heading1"/>
      </w:pPr>
      <w:r>
        <w:t>Retention and rights</w:t>
      </w:r>
    </w:p>
    <w:p>
      <w:r>
        <w:t>Approve retention by record category, audit logs, account metadata, backups, support tickets, and legal holds. Balance minimization/storage limitation with clinical, professional, legal, and regulatory duties. Define access, correction, objection, restriction, portability, deletion where applicable, identity verification, deadlines, exceptions, and escalation. Do not promise deletion where retention is legally required.</w:t>
      </w:r>
    </w:p>
    <w:p>
      <w:pPr>
        <w:pStyle w:val="Heading1"/>
      </w:pPr>
      <w:r>
        <w:t>Breach handling</w:t>
      </w:r>
    </w:p>
    <w:p>
      <w:r>
        <w:t>Define internal escalation and controller/processor notification paths. The NDP Act includes a 72-hour Commission notification requirement for a personal data breach likely to result in risk to individuals' rights and freedoms; counsel must confirm the precise trigger, calculation, content, current process, and affected-person notification duties. Set internal escalation targets much faster than the statutory deadline.</w:t>
      </w:r>
    </w:p>
    <w:p>
      <w:pPr>
        <w:pStyle w:val="Heading1"/>
      </w:pPr>
      <w:r>
        <w:t>Data-sharing and vendor agreements</w:t>
      </w:r>
    </w:p>
    <w:p>
      <w:r>
        <w:t>Include roles/instructions, purpose, data categories, permitted users, security, subprocessors, locations/transfers, retention/deletion, audit rights, assistance with rights requests, incident timelines/cooperation, liability, termination, return/deletion, and change notification.</w:t>
      </w:r>
    </w:p>
    <w:p>
      <w:pPr>
        <w:pStyle w:val="Heading1"/>
      </w:pPr>
      <w:r>
        <w:t>Required outputs and sign-off</w:t>
      </w:r>
    </w:p>
    <w:p>
      <w:r>
        <w:t>Counsel/privacy reviewer should deliver: applicability memo; role map; lawful-basis matrix; DPIA determination/completed DPIA if needed; hosting/transfer opinion; retention schedule; data-sharing templates; privacy notice/consent review; breach decision tree; NDPC registration/filing action list; open risks. Reviewer name/qualification [INSERT]; scope/date [INSERT]; disposition/conditions [PENDING]; signature/reference [INSERT].</w:t>
      </w:r>
    </w:p>
    <w:p>
      <w:r>
        <w:br w:type="page"/>
      </w:r>
    </w:p>
    <w:p>
      <w:pPr>
        <w:pStyle w:val="Title"/>
      </w:pPr>
      <w:r>
        <w:t>Clinical Governance Approval</w:t>
      </w:r>
    </w:p>
    <w:p>
      <w:pPr>
        <w:jc w:val="center"/>
      </w:pPr>
      <w:r>
        <w:t>Minimum dataset, patient matching, consent and clinical safety</w:t>
      </w:r>
    </w:p>
    <w:p>
      <w:r>
        <w:rPr>
          <w:b/>
          <w:color w:val="964119"/>
        </w:rPr>
        <w:t>MediPassport | Prepared 21 October 2026 | DRAFT FOR REVIEW — NOT APPROVED OR SIGNED</w:t>
      </w:r>
    </w:p>
    <w:p>
      <w:pPr>
        <w:pStyle w:val="Heading1"/>
      </w:pPr>
      <w:r>
        <w:t>Status and accountable reviewer</w:t>
      </w:r>
    </w:p>
    <w:p>
      <w:r>
        <w:t>Draft only. Approval required from a named, appropriately qualified clinical governance lead with facility, privacy, and security input. This template does not authorize clinical use.</w:t>
      </w:r>
    </w:p>
    <w:p>
      <w:pPr>
        <w:pStyle w:val="Heading1"/>
      </w:pPr>
      <w:r>
        <w:t>Clinical purpose and limits</w:t>
      </w:r>
    </w:p>
    <w:p>
      <w:r>
        <w:t>MediPassport supports continuity of care by making existing information available to authorized care teams. It must not imply that imported, patient-entered, incomplete, or stale information is a verified diagnosis or a substitute for clinical assessment.</w:t>
      </w:r>
    </w:p>
    <w:p>
      <w:pPr>
        <w:pStyle w:val="Heading1"/>
      </w:pPr>
      <w:r>
        <w:t>Proposed minimum dataset</w:t>
      </w:r>
    </w:p>
    <w:p>
      <w:r>
        <w:t>Patient identity/matching identifiers; encounter date and facility; clinician/role where available; allergies/reactions/status; active and historical medications with dates/status; conditions/diagnoses and source; vital signs with units/timestamps; lab observations and reports with units/reference ranges when supplied; imaging report/document reference; procedures; immunizations if in scope; referrals; discharge summaries; care instructions where approved; provenance and verification status. Clinical governance must approve mandatory fields and exclusions.</w:t>
      </w:r>
    </w:p>
    <w:p>
      <w:pPr>
        <w:pStyle w:val="Heading1"/>
      </w:pPr>
      <w:r>
        <w:t>Provenance and data quality</w:t>
      </w:r>
    </w:p>
    <w:p>
      <w:r>
        <w:t>Preserve source facility/system, source identifier, author/submitting user, clinical date, ingestion date, status, verification method, and correction history. Display missing, unknown, stale, conflicting, and unverified data explicitly. Preserve original values and units alongside any normalization.</w:t>
      </w:r>
    </w:p>
    <w:p>
      <w:pPr>
        <w:pStyle w:val="Heading1"/>
      </w:pPr>
      <w:r>
        <w:t>Patient matching</w:t>
      </w:r>
    </w:p>
    <w:p>
      <w:r>
        <w:t>Use approved identifiers and rules; never rely on name alone. Define confidence thresholds, duplicate review, human verification, merge/unmerge authority, audit trail, and response to wrong-patient disclosure. No automatic merge below approved confidence or where material conflicts exist.</w:t>
      </w:r>
    </w:p>
    <w:p>
      <w:pPr>
        <w:pStyle w:val="Heading1"/>
      </w:pPr>
      <w:r>
        <w:t>Correction and dispute</w:t>
      </w:r>
    </w:p>
    <w:p>
      <w:r>
        <w:t>Allow patients/providers to report inaccuracies. Preserve source record, log dispute/correction request, route to source or authorized reviewer, track status, and retain audit history. Do not silently overwrite imported records. Define urgent safety correction alerts.</w:t>
      </w:r>
    </w:p>
    <w:p>
      <w:pPr>
        <w:pStyle w:val="Heading1"/>
      </w:pPr>
      <w:r>
        <w:t>Consent and sharing</w:t>
      </w:r>
    </w:p>
    <w:p>
      <w:r>
        <w:t>Patient-facing wording identifies recipient, purpose, categories/date range, duration, and revocation effects. Separate optional secondary use from direct-care sharing where required. Record consent version, timestamp, method, scope, recipient, and withdrawal. Explain that revocation stops future access but cannot retract information already lawfully viewed or copied.</w:t>
      </w:r>
    </w:p>
    <w:p>
      <w:pPr>
        <w:pStyle w:val="Heading1"/>
      </w:pPr>
      <w:r>
        <w:t>Caregiver/representative</w:t>
      </w:r>
    </w:p>
    <w:p>
      <w:r>
        <w:t>Define identity verification, legal authority, scope, duration, capacity, child/guardian arrangements, proxy access, revocation, and audit. Caregiver status alone must not automatically grant access.</w:t>
      </w:r>
    </w:p>
    <w:p>
      <w:pPr>
        <w:pStyle w:val="Heading1"/>
      </w:pPr>
      <w:r>
        <w:t>Emergency / break-glass</w:t>
      </w:r>
    </w:p>
    <w:p>
      <w:r>
        <w:t>Only designated authenticated clinical roles; reason mandatory; approved limited emergency summary; short expiry; full event logging; patient alert when feasible and safe; retrospective review; misuse consequences. Define uncertain identity and connectivity-failure handling. Emergency access is not a general bypass. Keep disabled until specifically approved.</w:t>
      </w:r>
    </w:p>
    <w:p>
      <w:pPr>
        <w:pStyle w:val="Heading1"/>
      </w:pPr>
      <w:r>
        <w:t>Clinical safety and acceptance</w:t>
      </w:r>
    </w:p>
    <w:p>
      <w:r>
        <w:t>Test wrong-patient prevention, source/freshness labels, unverified labels, consent scope, QR protection, correction/conflict handling, units/dates, unavailable/stale states, access logs, and prohibited clinical inference. Maintain hazard register for wrong-patient disclosure, stale medication, missing allergy, unit error, conflicting results, proxy misuse, emergency misuse, and misunderstood consent. No unresolved critical clinical hazards at pilot approval.</w:t>
      </w:r>
    </w:p>
    <w:p>
      <w:pPr>
        <w:pStyle w:val="Heading1"/>
      </w:pPr>
      <w:r>
        <w:t>Sign-off</w:t>
      </w:r>
    </w:p>
    <w:p>
      <w:r>
        <w:t>Clinical lead/name/qualification [INSERT]; facility representatives [INSERT]; minimum dataset version [INSERT]; emergency access [DISABLED / APPROVED WITH CONDITIONS / OTHER]; conditions [INSERT]; disposition/date/signature [PENDING].</w:t>
      </w:r>
    </w:p>
    <w:p>
      <w:r>
        <w:br w:type="page"/>
      </w:r>
    </w:p>
    <w:p>
      <w:pPr>
        <w:pStyle w:val="Title"/>
      </w:pPr>
      <w:r>
        <w:t>Platform Decision Record</w:t>
      </w:r>
    </w:p>
    <w:p>
      <w:pPr>
        <w:jc w:val="center"/>
      </w:pPr>
      <w:r>
        <w:t>Provisional architecture and interoperability decisions</w:t>
      </w:r>
    </w:p>
    <w:p>
      <w:r>
        <w:rPr>
          <w:b/>
          <w:color w:val="964119"/>
        </w:rPr>
        <w:t>MediPassport | Prepared 21 October 2026 | DRAFT FOR REVIEW — NOT APPROVED OR SIGNED</w:t>
      </w:r>
    </w:p>
    <w:p>
      <w:pPr>
        <w:pStyle w:val="Heading1"/>
      </w:pPr>
      <w:r>
        <w:t>Status and method</w:t>
      </w:r>
    </w:p>
    <w:p>
      <w:r>
        <w:t>The choices below are proposed defaults, not approved production decisions. Platform/Technical Owner [NAME]; Security/Operations Owner [NAME]; Legal/Privacy Owner [NAME]; Executive Gate Owner [NAME]. Record alternatives, evidence, decision, date, and reviewer for each item.</w:t>
      </w:r>
    </w:p>
    <w:p>
      <w:pPr>
        <w:pStyle w:val="Heading1"/>
      </w:pPr>
      <w:r>
        <w:t>Hosting and region</w:t>
      </w:r>
    </w:p>
    <w:p>
      <w:r>
        <w:t>Preferred: production hosting in a Nigerian region if availability, security, support, and contractual terms are acceptable. Separate development/test/staging/production. If a Nigerian region is unsuitable/unavailable, require documented data-flow/transfer assessment, legal opinion, security and subprocessor review, and executive approval before real patient data. Provider/region/backups/logs/support access [TO BE SELECTED].</w:t>
      </w:r>
    </w:p>
    <w:p>
      <w:pPr>
        <w:pStyle w:val="Heading1"/>
      </w:pPr>
      <w:r>
        <w:t>Supported versions and lifecycle</w:t>
      </w:r>
    </w:p>
    <w:p>
      <w:r>
        <w:t>Maintain a version register for app, OS/base images, runtime, database, dependencies, FHIR profiles, APIs, and adapters. Use supported versions with security updates; pin versions; scan dependencies; define patch SLAs and end-of-life migration. Exact versions and owners [PENDING].</w:t>
      </w:r>
    </w:p>
    <w:p>
      <w:pPr>
        <w:pStyle w:val="Heading1"/>
      </w:pPr>
      <w:r>
        <w:t>Authentication and authorization</w:t>
      </w:r>
    </w:p>
    <w:p>
      <w:r>
        <w:t>Proposed: OpenID Connect/OAuth 2.0 where suitable, short-lived tokens, server-side authorization, least privilege, MFA for staff/privileged accounts, contextual checks (patient/facility/purpose/scope/expiry), secure recovery, session revocation, and rotated service credentials. Decide patient identity-proofing level by risk.</w:t>
      </w:r>
    </w:p>
    <w:p>
      <w:pPr>
        <w:pStyle w:val="Heading1"/>
      </w:pPr>
      <w:r>
        <w:t>Private storage</w:t>
      </w:r>
    </w:p>
    <w:p>
      <w:r>
        <w:t>Clinical documents in private object storage, not public web paths. Encryption, narrow access, time-limited download links, file validation, malware scanning, access logs, retention/deletion controls, protected backups, key ownership and rotation. Avoid sensitive identifiers in public URLs.</w:t>
      </w:r>
    </w:p>
    <w:p>
      <w:pPr>
        <w:pStyle w:val="Heading1"/>
      </w:pPr>
      <w:r>
        <w:t>Email/SMS</w:t>
      </w:r>
    </w:p>
    <w:p>
      <w:r>
        <w:t>Select providers after security/privacy, location, subprocessors, contract, delivery, and cost review. Notifications must contain minimal content and no sensitive diagnosis. Verify contact ownership; do not rely on SMS alone for high-risk authentication. Provider/region/retention/templates/fallback [PENDING].</w:t>
      </w:r>
    </w:p>
    <w:p>
      <w:pPr>
        <w:pStyle w:val="Heading1"/>
      </w:pPr>
      <w:r>
        <w:t>FHIR and interoperability</w:t>
      </w:r>
    </w:p>
    <w:p>
      <w:r>
        <w:t>Proposed baseline: HL7 FHIR R4 where partner capability supports it. Confirm release and profiles with pilot partners and applicable national guidance before freezing contracts. Candidate resources: Patient, Practitioner, PractitionerRole, Organization, Encounter, Condition, Observation, DiagnosticReport, MedicationRequest/MedicationStatement, AllergyIntolerance, DocumentReference, Consent, Provenance, AuditEvent, and referral-related resources as appropriate. Define identifiers, terminology, units, required fields, and local mappings.</w:t>
      </w:r>
    </w:p>
    <w:p>
      <w:pPr>
        <w:pStyle w:val="Heading1"/>
      </w:pPr>
      <w:r>
        <w:t>Integration protocol</w:t>
      </w:r>
    </w:p>
    <w:p>
      <w:r>
        <w:t>Versioned HTTPS APIs; FHIR REST where supported; partner adapters for non-FHIR systems; explicit scopes; service identity such as mutual TLS where justified; idempotency for writes; correlation IDs; rate limits; retry/backoff; dead-letter handling; sync status. Do not assume every partner supports every FHIR interaction.</w:t>
      </w:r>
    </w:p>
    <w:p>
      <w:pPr>
        <w:pStyle w:val="Heading1"/>
      </w:pPr>
      <w:r>
        <w:t>Source ownership and decisions to record</w:t>
      </w:r>
    </w:p>
    <w:p>
      <w:r>
        <w:t>Name authoritative source per field/resource; preserve source IDs/provenance; define conflict handling and stale indicators; route corrections to source/approved workflow. Decision log: hosting/region [PENDING]; auth [PENDING]; storage [PENDING]; email/SMS [PENDING]; FHIR release/profiles [PENDING]; API protocol [PENDING]; backup region [PENDING]; supported versions [PENDING].</w:t>
      </w:r>
    </w:p>
    <w:p>
      <w:pPr>
        <w:pStyle w:val="Heading1"/>
      </w:pPr>
      <w:r>
        <w:t>Approval conditions and sign-off</w:t>
      </w:r>
    </w:p>
    <w:p>
      <w:r>
        <w:t>No production patient data until region/transfers are approved; contracts/vendor terms executed; versions and support windows recorded; partner profiles tested; authorization tests pass; and security/operations plus executive approvals are recorded. Technical [PENDING]; Security [PENDING]; Legal [PENDING]; Product [PENDING]; Gate Owner [PENDING]; date/conditions [PENDING].</w:t>
      </w:r>
    </w:p>
    <w:p>
      <w:r>
        <w:br w:type="page"/>
      </w:r>
    </w:p>
    <w:p>
      <w:pPr>
        <w:pStyle w:val="Title"/>
      </w:pPr>
      <w:r>
        <w:t>Security and Operations Approval</w:t>
      </w:r>
    </w:p>
    <w:p>
      <w:pPr>
        <w:jc w:val="center"/>
      </w:pPr>
      <w:r>
        <w:t>Threat model, MFA, audit, incidents and recovery</w:t>
      </w:r>
    </w:p>
    <w:p>
      <w:r>
        <w:rPr>
          <w:b/>
          <w:color w:val="964119"/>
        </w:rPr>
        <w:t>MediPassport | Prepared 21 October 2026 | DRAFT FOR REVIEW — NOT APPROVED OR SIGNED</w:t>
      </w:r>
    </w:p>
    <w:p>
      <w:pPr>
        <w:pStyle w:val="Heading1"/>
      </w:pPr>
      <w:r>
        <w:t>Status and approval required</w:t>
      </w:r>
    </w:p>
    <w:p>
      <w:r>
        <w:t>Draft only. Security/Operations Owner [NAME]. Evidence is required; checklist declarations alone do not constitute approval.</w:t>
      </w:r>
    </w:p>
    <w:p>
      <w:pPr>
        <w:pStyle w:val="Heading1"/>
      </w:pPr>
      <w:r>
        <w:t>Threat-model scope</w:t>
      </w:r>
    </w:p>
    <w:p>
      <w:r>
        <w:t>Cover patient app/web; provider portal; admin console; identity/matching; consent/authorization; API/FHIR gateway; partner adapters; document storage; email/SMS; audit logs; secrets/keys; backups; cloud control plane; CI/CD/software supply chain; support access; facility endpoints; and third parties. Threats include account takeover, privilege abuse, cross-facility access, wrong-patient linkage, QR/token theft, insecure object access, exfiltration, malicious uploads, API abuse, ransomware, insider misuse, log tampering, supply-chain compromise, and denial of service.</w:t>
      </w:r>
    </w:p>
    <w:p>
      <w:pPr>
        <w:pStyle w:val="Heading1"/>
      </w:pPr>
      <w:r>
        <w:t>MFA and privileged access</w:t>
      </w:r>
    </w:p>
    <w:p>
      <w:r>
        <w:t>Require MFA for staff, administrators, clinical users, and vendor/support access. Use phishing-resistant MFA for privileged roles where feasible. Named accounts only; no shared admin accounts; periodic access reviews; prompt deprovisioning; just-in-time elevation where practical; log admin actions.</w:t>
      </w:r>
    </w:p>
    <w:p>
      <w:pPr>
        <w:pStyle w:val="Heading1"/>
      </w:pPr>
      <w:r>
        <w:t>Authorization and audit</w:t>
      </w:r>
    </w:p>
    <w:p>
      <w:r>
        <w:t>Enforce authorization server-side on every read/write. Test object-level, facility/tenant, role, scope, consent, expiry, and emergency rules. Log actor, patient/resource, facility, purpose, action, timestamp, result, authorization basis, and emergency flag without unnecessary clinical payloads. Protect logs against alteration and restrict access.</w:t>
      </w:r>
    </w:p>
    <w:p>
      <w:pPr>
        <w:pStyle w:val="Heading1"/>
      </w:pPr>
      <w:r>
        <w:t>Audit retention</w:t>
      </w:r>
    </w:p>
    <w:p>
      <w:r>
        <w:t>Legal/privacy and clinical governance must set duration after reviewing statutory, contractual, clinical, and operational needs. Requirement: tamper-resistant, restricted audit logs and a documented retention/deletion policy. Exact duration [PENDING]; do not assume a number without approval.</w:t>
      </w:r>
    </w:p>
    <w:p>
      <w:pPr>
        <w:pStyle w:val="Heading1"/>
      </w:pPr>
      <w:r>
        <w:t>Incident response</w:t>
      </w:r>
    </w:p>
    <w:p>
      <w:r>
        <w:t>Name incident commander, security, privacy/legal, clinical safety, communications, and facility contacts. Define severity, escalation, evidence preservation, containment, token/credential revocation, partner isolation, risk assessment, regulatory/data-subject notification decision, recovery, and post-incident review. Tabletop scenarios: wrong-patient disclosure, stolen provider credentials, ransomware, exposed share link, compromised integration.</w:t>
      </w:r>
    </w:p>
    <w:p>
      <w:pPr>
        <w:pStyle w:val="Heading1"/>
      </w:pPr>
      <w:r>
        <w:t>Breach escalation</w:t>
      </w:r>
    </w:p>
    <w:p>
      <w:r>
        <w:t>Escalate suspected incidents immediately to Security/Operations and promptly to privacy/legal for statutory assessment. The NDP Act includes a 72-hour Commission notification requirement for qualifying breaches; counsel must confirm the trigger and notification duties. Internal processes must not wait until the statutory deadline.</w:t>
      </w:r>
    </w:p>
    <w:p>
      <w:pPr>
        <w:pStyle w:val="Heading1"/>
      </w:pPr>
      <w:r>
        <w:t>Backup and recovery</w:t>
      </w:r>
    </w:p>
    <w:p>
      <w:r>
        <w:t>Encrypted, access-controlled, monitored backups for databases, documents, configuration, and required keys. Consider immutable/offline protection, separate credentials, retention, restore testing, and recovery order. Test restore before pilot and at an approved recurring interval.</w:t>
      </w:r>
    </w:p>
    <w:p>
      <w:pPr>
        <w:pStyle w:val="Heading1"/>
      </w:pPr>
      <w:r>
        <w:t>Proposed RPO/RTO — not approved</w:t>
      </w:r>
    </w:p>
    <w:p>
      <w:r>
        <w:t>Proposed for feasibility review: core patient index/consent/audit metadata RPO ≤15 minutes and RTO ≤4 hours; documents and non-critical integration queues RPO ≤4 hours and RTO ≤8 hours. Service owner must confirm cost/feasibility/clinical impact and replace these with approved targets if needed. Approved values and evidence [PENDING].</w:t>
      </w:r>
    </w:p>
    <w:p>
      <w:pPr>
        <w:pStyle w:val="Heading1"/>
      </w:pPr>
      <w:r>
        <w:t>Security acceptance criteria</w:t>
      </w:r>
    </w:p>
    <w:p>
      <w:r>
        <w:t>No unresolved critical/high vulnerabilities; MFA enabled for all staff/privileged accounts; object-level and consent tests pass; expired/revoked links fail; QR contains no clinical data; audit logs protected/queryable; incident contacts and breach decision tree approved; restore meets approved RPO/RTO; monitoring active; no secrets in source control; dependency/image scans reviewed; penetration-test findings closed or formally risk-accepted by authorized owner.</w:t>
      </w:r>
    </w:p>
    <w:p>
      <w:pPr>
        <w:pStyle w:val="Heading1"/>
      </w:pPr>
      <w:r>
        <w:t>Operations readiness and evidence</w:t>
      </w:r>
    </w:p>
    <w:p>
      <w:r>
        <w:t>Named service owner/support path; uptime, latency, error, access, queue and integration monitoring; alert thresholds; runbooks for outage, sync failure, wrong match, compromise, breach, restore, rollback and key rotation; patch schedule; vendor escalation; pilot support instructions. Evidence links: threat model [INSERT]; DPIA [INSERT]; access tests [INSERT]; scans/penetration test [INSERT]; restore report [INSERT]; tabletop report [INSERT]; monitoring/runbook versions [INSERT]; open risks [INSERT].</w:t>
      </w:r>
    </w:p>
    <w:p>
      <w:pPr>
        <w:pStyle w:val="Heading1"/>
      </w:pPr>
      <w:r>
        <w:t>Sign-off</w:t>
      </w:r>
    </w:p>
    <w:p>
      <w:r>
        <w:t>Security/Operations [PENDING]; Platform/Technical [PENDING]; Legal/Privacy [PENDING]; Clinical Safety [PENDING]; Executive Gate Owner [PENDING]. Disposition, conditions, date and signature/reference [PENDING].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