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56962" cy="85756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9293" l="0" r="0" t="27855"/>
                    <a:stretch>
                      <a:fillRect/>
                    </a:stretch>
                  </pic:blipFill>
                  <pic:spPr>
                    <a:xfrm>
                      <a:off x="0" y="0"/>
                      <a:ext cx="3756962" cy="85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-1071562</wp:posOffset>
            </wp:positionH>
            <wp:positionV relativeFrom="margin">
              <wp:posOffset>-1152524</wp:posOffset>
            </wp:positionV>
            <wp:extent cx="7762875" cy="10306367"/>
            <wp:effectExtent b="0" l="0" r="0" t="0"/>
            <wp:wrapNone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306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LABCCO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entendemos que la salud y el bienestar son pilares fundamentales para el éxito. Con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más de 30 años de experiencia al servicio humano,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ponemos a su disposición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portafolio integral de servicios de laboratorio clínico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diseñado para responder con precisión, eficiencia y calidad.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Más que un proveedor, somos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aliado estratégico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 salud ocupacional y bienestar humano, ofreciendo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soluciones personalizadas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 los retos de hoy.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LABCCO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trabajamos día a día con una visión clara: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superar las expectativas de quienes confían en nosotros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asegurando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calidad en cada análisis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satisfacción en cada servicio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como lo hemos hecho durante más de tres décadas de dedicación y compromiso.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empresas tienen un </w:t>
      </w:r>
      <w:r w:rsidDel="00000000" w:rsidR="00000000" w:rsidRPr="00000000">
        <w:rPr>
          <w:b w:val="1"/>
          <w:bCs w:val="1"/>
          <w:rtl w:val="0"/>
        </w:rPr>
        <w:t xml:space="preserve">descuento especial</w:t>
      </w:r>
      <w:r w:rsidDel="00000000" w:rsidR="00000000" w:rsidRPr="00000000">
        <w:rPr>
          <w:rtl w:val="0"/>
        </w:rPr>
        <w:t xml:space="preserve"> por el volumen que representan; si usted es </w:t>
      </w:r>
      <w:r w:rsidDel="00000000" w:rsidR="00000000" w:rsidRPr="00000000">
        <w:rPr>
          <w:b w:val="1"/>
          <w:bCs w:val="1"/>
          <w:rtl w:val="0"/>
        </w:rPr>
        <w:t xml:space="preserve">cliente empresarial</w:t>
      </w:r>
      <w:r w:rsidDel="00000000" w:rsidR="00000000" w:rsidRPr="00000000">
        <w:rPr>
          <w:rtl w:val="0"/>
        </w:rPr>
        <w:t xml:space="preserve"> aplica precio preferencial </w:t>
      </w:r>
    </w:p>
    <w:sdt>
      <w:sdtPr>
        <w:lock w:val="contentLocked"/>
        <w:id w:val="-828469719"/>
        <w:tag w:val="goog_rdk_0"/>
      </w:sdtPr>
      <w:sdtContent>
        <w:tbl>
          <w:tblPr>
            <w:tblStyle w:val="Table1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55"/>
            <w:gridCol w:w="4035"/>
            <w:tblGridChange w:id="0">
              <w:tblGrid>
                <w:gridCol w:w="4755"/>
                <w:gridCol w:w="4035"/>
              </w:tblGrid>
            </w:tblGridChange>
          </w:tblGrid>
          <w:tr>
            <w:trPr>
              <w:cantSplit w:val="0"/>
              <w:trHeight w:val="412.96875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  <w:tc>
              <w:tcPr>
                <w:tcBorders>
                  <w:bottom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CLIENTES 2025</w:t>
                </w:r>
              </w:p>
            </w:tc>
          </w:tr>
          <w:tr>
            <w:trPr>
              <w:cantSplit w:val="0"/>
              <w:trHeight w:val="193.55468749999994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Evaluación médica ocupacional con  énfasis osteomuscular </w:t>
                </w:r>
              </w:p>
            </w:tc>
            <w:tc>
              <w:tcPr>
                <w:tcBorders>
                  <w:top w:color="ffffff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49.100.0</w:t>
                </w:r>
              </w:p>
            </w:tc>
          </w:tr>
          <w:tr>
            <w:trPr>
              <w:cantSplit w:val="0"/>
              <w:trHeight w:val="25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visiometria tamiz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incluida en el concepto médico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Audiometría tamiz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33.400.0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Optometría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39.300.0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Espirometría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55.700.0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Alcohol en aliento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56.700.0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5617658"/>
        <w:tag w:val="goog_rdk_1"/>
      </w:sdtPr>
      <w:sdtContent>
        <w:tbl>
          <w:tblPr>
            <w:tblStyle w:val="Table2"/>
            <w:tblW w:w="87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55"/>
            <w:gridCol w:w="4020"/>
            <w:tblGridChange w:id="0">
              <w:tblGrid>
                <w:gridCol w:w="4755"/>
                <w:gridCol w:w="4020"/>
              </w:tblGrid>
            </w:tblGridChange>
          </w:tblGrid>
          <w:tr>
            <w:trPr>
              <w:cantSplit w:val="0"/>
              <w:trHeight w:val="371.2600000000001" w:hRule="atLeast"/>
              <w:tblHeader w:val="0"/>
            </w:trPr>
            <w:tc>
              <w:tcPr>
                <w:gridSpan w:val="2"/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PRUEBAS DE LABORATORIO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  <w:tc>
              <w:tcPr>
                <w:tcBorders>
                  <w:bottom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CLIENTES 2025</w:t>
                </w:r>
              </w:p>
            </w:tc>
          </w:tr>
          <w:tr>
            <w:trPr>
              <w:cantSplit w:val="0"/>
              <w:trHeight w:val="271.2600000000000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Glicemia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Glicemia post prandial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65.800.0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glucosa carga, pre y post 2 horas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98.600.0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Colesterol total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Trigliceridos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45.300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Perfil lipídico (LDL,VLDL,HDL,Col, Triglicéridos)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94.400.0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Colinesterasa eritrocitaria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37.700.0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Hemograma completo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45.300.0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Creatinina en suero 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162960"/>
        <w:tag w:val="goog_rdk_2"/>
      </w:sdtPr>
      <w:sdtContent>
        <w:tbl>
          <w:tblPr>
            <w:tblStyle w:val="Table3"/>
            <w:tblW w:w="87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55"/>
            <w:gridCol w:w="4020"/>
            <w:tblGridChange w:id="0">
              <w:tblGrid>
                <w:gridCol w:w="4755"/>
                <w:gridCol w:w="4020"/>
              </w:tblGrid>
            </w:tblGridChange>
          </w:tblGrid>
          <w:tr>
            <w:trPr>
              <w:cantSplit w:val="0"/>
              <w:trHeight w:val="90" w:hRule="atLeast"/>
              <w:tblHeader w:val="0"/>
            </w:trPr>
            <w:tc>
              <w:tcPr>
                <w:gridSpan w:val="2"/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PRUEBAS DE LABORATORIO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  <w:tc>
              <w:tcPr>
                <w:tcBorders>
                  <w:bottom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CLIENTES 2025</w:t>
                </w:r>
              </w:p>
            </w:tc>
          </w:tr>
          <w:tr>
            <w:trPr>
              <w:cantSplit w:val="0"/>
              <w:trHeight w:val="271.2600000000000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Transaminasas AST-GOT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45.300.0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Transaminasas ALT-GPT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45.300.0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Citoquímico o parcial de orina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Prueba inmunologica de embarazo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Serología sífilis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VIH combo antígeno-anticuerpo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80.500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Hemoclasificación RH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29.500.0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Coprograma 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33.400.0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coprológico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23.700.0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KOH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Frotis faríngeo coloración gram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25.600.0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Hemoglobina y hematocrito 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45.300.0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Ácido úrico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29.600.0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Nuestro portafolio incluye una amplia variedad de pruebas y exámenes especializados. Si no encuentra la prueba que necesita,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 dude en contactarnos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con gusto le brindaremos atención personalizada en minutos</w:t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Las empresas cuentan con descuentos especiales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por el volumen que representan; si usted es cliente empresarial,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solicite su cotización        con precios preferenciales.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Horario de atención: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Lun – Vie: 7:00 a.m. – 12:00 m / 2:00 p.m. – 5:00 p.m.  Sáb: 8:00 a.m. – 11:00 a.m.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Tel / WhatsApp: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312 827 4796 | 531 13 54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Correo electrónico: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calidad@labccosas.com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 aprecio,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Raigosa B. Mateo,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Admon – LABCCO</w:t>
      </w:r>
    </w:p>
    <w:p w:rsidR="00000000" w:rsidDel="00000000" w:rsidP="00000000" w:rsidRDefault="00000000" w:rsidRPr="00000000" w14:paraId="0000005B">
      <w:pPr>
        <w:ind w:left="0" w:firstLine="0"/>
        <w:rPr>
          <w:color w:val="323e4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 w:val="1"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 w:val="1"/>
    <w:rsid w:val="005B68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B68F8"/>
    <w:rPr>
      <w:color w:val="605e5c"/>
      <w:shd w:color="auto" w:fill="e1dfdd" w:val="clear"/>
    </w:rPr>
  </w:style>
  <w:style w:type="character" w:styleId="TtuloCar" w:customStyle="1">
    <w:name w:val="Título Car"/>
    <w:basedOn w:val="Fuentedeprrafopredeter"/>
    <w:link w:val="Ttulo"/>
    <w:uiPriority w:val="10"/>
    <w:rsid w:val="006A6F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calidad@labccosas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uAWxukvMww+TWwzY4jsgYsIoNA==">CgMxLjAaHwoBMBIaChgICVIUChJ0YWJsZS5xOWN4bzNjeHZqbTEaHwoBMRIaChgICVIUChJ0YWJsZS5nYzJhd3Jmbmdvd3EaHwoBMhIaChgICVIUChJ0YWJsZS4xdnRyNnRqcjg1aHQ4AHIhMUYxYzhCSTFmSFJscm52MnVIQWVwZ2dNWTBVUUppdXp4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2022-06-10T16:29:00Z</dcterms:created>
  <dc:creator>fondosword.com</dc:creator>
</cp:coreProperties>
</file>