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3682496" cy="857568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48893" l="0" r="0" t="27656"/>
                    <a:stretch>
                      <a:fillRect/>
                    </a:stretch>
                  </pic:blipFill>
                  <pic:spPr>
                    <a:xfrm>
                      <a:off x="0" y="0"/>
                      <a:ext cx="3682496" cy="8575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posOffset>-1071560</wp:posOffset>
            </wp:positionH>
            <wp:positionV relativeFrom="margin">
              <wp:posOffset>-1152521</wp:posOffset>
            </wp:positionV>
            <wp:extent cx="7762875" cy="10306367"/>
            <wp:effectExtent b="0" l="0" r="0" t="0"/>
            <wp:wrapNone/>
            <wp:docPr id="1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62875" cy="103063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LABCCO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entendemos que la salud y el bienestar de los trabajadores son pilares fundamentales para el éxito de toda organización. Con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más de 30 años de experiencia al servicio de las empresas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ponemos a su disposición un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portafolio integral de servicios de laboratorio clínico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diseñado para responder con precisión, eficiencia y calidad.</w:t>
      </w:r>
    </w:p>
    <w:p w:rsidR="00000000" w:rsidDel="00000000" w:rsidP="00000000" w:rsidRDefault="00000000" w:rsidRPr="00000000" w14:paraId="00000005">
      <w:pPr>
        <w:spacing w:after="240" w:before="240"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Más que un proveedor, somos un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aliado estratégico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en salud ocupacional y bienestar laboral, ofreciendo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soluciones personalizadas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a los retos que enfrentan las organizaciones de hoy.</w:t>
      </w:r>
    </w:p>
    <w:p w:rsidR="00000000" w:rsidDel="00000000" w:rsidP="00000000" w:rsidRDefault="00000000" w:rsidRPr="00000000" w14:paraId="00000006">
      <w:pPr>
        <w:spacing w:after="240" w:before="240"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LABCCO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trabajamos día a día con una visión clara: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superar las expectativas de quienes confían en nosotros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asegurando la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calidad en cada análisis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y la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satisfacción en cada servicio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como lo hemos hecho durante más de tres décadas de dedicación y compromiso.</w:t>
      </w:r>
    </w:p>
    <w:p w:rsidR="00000000" w:rsidDel="00000000" w:rsidP="00000000" w:rsidRDefault="00000000" w:rsidRPr="00000000" w14:paraId="00000007">
      <w:pPr>
        <w:spacing w:after="240" w:before="240"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24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empresas tienen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descuento especial</w:t>
      </w:r>
      <w:r w:rsidDel="00000000" w:rsidR="00000000" w:rsidRPr="00000000">
        <w:rPr>
          <w:sz w:val="24"/>
          <w:szCs w:val="24"/>
          <w:rtl w:val="0"/>
        </w:rPr>
        <w:t xml:space="preserve"> por volumen; si usted 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cliente empresarial</w:t>
      </w:r>
      <w:r w:rsidDel="00000000" w:rsidR="00000000" w:rsidRPr="00000000">
        <w:rPr>
          <w:sz w:val="24"/>
          <w:szCs w:val="24"/>
          <w:rtl w:val="0"/>
        </w:rPr>
        <w:t xml:space="preserve"> mediano o grande estamos abiertos a negociaciones </w:t>
      </w:r>
    </w:p>
    <w:sdt>
      <w:sdtPr>
        <w:lock w:val="contentLocked"/>
        <w:id w:val="1769807061"/>
        <w:tag w:val="goog_rdk_0"/>
      </w:sdtPr>
      <w:sdtContent>
        <w:tbl>
          <w:tblPr>
            <w:tblStyle w:val="Table1"/>
            <w:tblW w:w="96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600"/>
            <w:tblGridChange w:id="0">
              <w:tblGrid>
                <w:gridCol w:w="9600"/>
              </w:tblGrid>
            </w:tblGridChange>
          </w:tblGrid>
          <w:tr>
            <w:trPr>
              <w:cantSplit w:val="0"/>
              <w:trHeight w:val="412.96875" w:hRule="atLeast"/>
              <w:tblHeader w:val="0"/>
            </w:trPr>
            <w:tc>
              <w:tcPr>
                <w:shd w:fill="07376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RELACION DE EXAMENES </w:t>
                </w:r>
              </w:p>
            </w:tc>
          </w:tr>
          <w:tr>
            <w:trPr>
              <w:cantSplit w:val="0"/>
              <w:trHeight w:val="362.5200000000001" w:hRule="atLeast"/>
              <w:tblHeader w:val="0"/>
            </w:trPr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Evaluación médica ocupacional con  énfasis osteomuscular </w:t>
                </w:r>
                <w:r w:rsidDel="00000000" w:rsidR="00000000" w:rsidRPr="00000000">
                  <w:rPr>
                    <w:rFonts w:ascii="Merriweather" w:cs="Merriweather" w:eastAsia="Merriweather" w:hAnsi="Merriweather"/>
                    <w:sz w:val="18"/>
                    <w:szCs w:val="18"/>
                    <w:rtl w:val="0"/>
                  </w:rPr>
                  <w:t xml:space="preserve">(ingreso, periodico o retiro)</w:t>
                </w:r>
              </w:p>
            </w:tc>
          </w:tr>
          <w:tr>
            <w:trPr>
              <w:cantSplit w:val="0"/>
              <w:trHeight w:val="193.55468749999994" w:hRule="atLeast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Visiometria tamiz</w:t>
                </w:r>
              </w:p>
            </w:tc>
          </w:tr>
          <w:tr>
            <w:trPr>
              <w:cantSplit w:val="0"/>
              <w:trHeight w:val="253.55468749999994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Evaluación médica post incapacidad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Audiometría tamiz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Optometría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Espirometría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Alcohol en aliento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Prueba psicotécnica y psicosensométrica</w:t>
                </w:r>
              </w:p>
            </w:tc>
          </w:tr>
          <w:tr>
            <w:trPr>
              <w:cantSplit w:val="0"/>
              <w:trHeight w:val="380" w:hRule="atLeast"/>
              <w:tblHeader w:val="0"/>
            </w:trPr>
            <w:tc>
              <w:tcPr>
                <w:shd w:fill="07376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PAQUETES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Paquete de alturas personas menores de 40 Años </w:t>
                </w:r>
                <w:r w:rsidDel="00000000" w:rsidR="00000000" w:rsidRPr="00000000">
                  <w:rPr>
                    <w:rFonts w:ascii="Merriweather" w:cs="Merriweather" w:eastAsia="Merriweather" w:hAnsi="Merriweather"/>
                    <w:sz w:val="18"/>
                    <w:szCs w:val="18"/>
                    <w:rtl w:val="0"/>
                  </w:rPr>
                  <w:t xml:space="preserve">(evaluación médica, visiometría, audiometría, glicemia y hemograma)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Paquete de alturas personas mayores de 40 Años </w:t>
                </w:r>
                <w:r w:rsidDel="00000000" w:rsidR="00000000" w:rsidRPr="00000000">
                  <w:rPr>
                    <w:rFonts w:ascii="Merriweather" w:cs="Merriweather" w:eastAsia="Merriweather" w:hAnsi="Merriweather"/>
                    <w:sz w:val="18"/>
                    <w:szCs w:val="18"/>
                    <w:rtl w:val="0"/>
                  </w:rPr>
                  <w:t xml:space="preserve">(evaluación médica, visiometría, audiometría, glicemia, colesterol, triglicéridos y hemograma)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Paquete de Riesgo químico y toxicológico </w:t>
                </w:r>
                <w:r w:rsidDel="00000000" w:rsidR="00000000" w:rsidRPr="00000000">
                  <w:rPr>
                    <w:rFonts w:ascii="Merriweather" w:cs="Merriweather" w:eastAsia="Merriweather" w:hAnsi="Merriweather"/>
                    <w:sz w:val="18"/>
                    <w:szCs w:val="18"/>
                    <w:rtl w:val="0"/>
                  </w:rPr>
                  <w:t xml:space="preserve">(Evaluación médica, visiometría, colinesterasa eritrocitaria, AST, ALT, hemograma y citoquímico de orina)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Paquete de manipulación de alimentos  </w:t>
                </w:r>
              </w:p>
              <w:p w:rsidR="00000000" w:rsidDel="00000000" w:rsidP="00000000" w:rsidRDefault="00000000" w:rsidRPr="00000000" w14:paraId="0000001E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sz w:val="18"/>
                    <w:szCs w:val="18"/>
                    <w:rtl w:val="0"/>
                  </w:rPr>
                  <w:t xml:space="preserve">(evaluación médica, visiometría, KOH, coprológico y frotis faríngeo)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Paquete de Conductores y seguridad vial </w:t>
                </w:r>
                <w:r w:rsidDel="00000000" w:rsidR="00000000" w:rsidRPr="00000000">
                  <w:rPr>
                    <w:rFonts w:ascii="Merriweather" w:cs="Merriweather" w:eastAsia="Merriweather" w:hAnsi="Merriweather"/>
                    <w:sz w:val="18"/>
                    <w:szCs w:val="18"/>
                    <w:rtl w:val="0"/>
                  </w:rPr>
                  <w:t xml:space="preserve">(Evaluación médica, visiometría, audiometría, COC-THC, prueba psicotécnica y psicosensométrica)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Paquete de Espacios confinados </w:t>
                </w:r>
              </w:p>
              <w:p w:rsidR="00000000" w:rsidDel="00000000" w:rsidP="00000000" w:rsidRDefault="00000000" w:rsidRPr="00000000" w14:paraId="00000021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sz w:val="18"/>
                    <w:szCs w:val="18"/>
                    <w:rtl w:val="0"/>
                  </w:rPr>
                  <w:t xml:space="preserve">(evaluación médica, visiometría, audiometría, glicemia, espirometría hemograma)</w:t>
                </w:r>
              </w:p>
            </w:tc>
          </w:tr>
        </w:tbl>
      </w:sdtContent>
    </w:sdt>
    <w:p w:rsidR="00000000" w:rsidDel="00000000" w:rsidP="00000000" w:rsidRDefault="00000000" w:rsidRPr="00000000" w14:paraId="00000022">
      <w:pPr>
        <w:spacing w:after="240" w:before="240" w:line="360" w:lineRule="auto"/>
        <w:jc w:val="both"/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="360" w:lineRule="auto"/>
        <w:jc w:val="both"/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="360" w:lineRule="auto"/>
        <w:jc w:val="both"/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49486842"/>
        <w:tag w:val="goog_rdk_1"/>
      </w:sdtPr>
      <w:sdtContent>
        <w:tbl>
          <w:tblPr>
            <w:tblStyle w:val="Table2"/>
            <w:tblW w:w="928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285"/>
            <w:tblGridChange w:id="0">
              <w:tblGrid>
                <w:gridCol w:w="9285"/>
              </w:tblGrid>
            </w:tblGridChange>
          </w:tblGrid>
          <w:tr>
            <w:trPr>
              <w:cantSplit w:val="0"/>
              <w:trHeight w:val="371.2600000000001" w:hRule="atLeast"/>
              <w:tblHeader w:val="0"/>
            </w:trPr>
            <w:tc>
              <w:tcPr>
                <w:tcBorders>
                  <w:right w:color="ffffff" w:space="0" w:sz="8" w:val="single"/>
                </w:tcBorders>
                <w:shd w:fill="07376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PRUEBAS DE LABORATORIO</w:t>
                </w:r>
              </w:p>
            </w:tc>
          </w:tr>
          <w:tr>
            <w:trPr>
              <w:cantSplit w:val="0"/>
              <w:trHeight w:val="371.2600000000001" w:hRule="atLeast"/>
              <w:tblHeader w:val="0"/>
            </w:trPr>
            <w:tc>
              <w:tcPr>
                <w:shd w:fill="07376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RELACION DE EXAMENES </w:t>
                </w:r>
              </w:p>
            </w:tc>
          </w:tr>
          <w:tr>
            <w:trPr>
              <w:cantSplit w:val="0"/>
              <w:trHeight w:val="271.2600000000000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Glicemia</w:t>
                </w:r>
              </w:p>
            </w:tc>
          </w:tr>
          <w:tr>
            <w:trPr>
              <w:cantSplit w:val="0"/>
              <w:trHeight w:val="371.2600000000001" w:hRule="atLeast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Glicemia post prandial </w:t>
                </w:r>
              </w:p>
            </w:tc>
          </w:tr>
          <w:tr>
            <w:trPr>
              <w:cantSplit w:val="0"/>
              <w:trHeight w:val="371.2600000000001" w:hRule="atLeast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Colesterol total</w:t>
                </w:r>
              </w:p>
            </w:tc>
          </w:tr>
          <w:tr>
            <w:trPr>
              <w:cantSplit w:val="0"/>
              <w:trHeight w:val="371.2600000000001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Trigliceridos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97.83867418511903" w:hRule="atLeast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Perfil lipídico (LDL,VLDL,HDL,Col, Triglicéridos)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97.8386741851190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Colinesterasa eritrocitaria </w:t>
                </w:r>
              </w:p>
            </w:tc>
          </w:tr>
          <w:tr>
            <w:trPr>
              <w:cantSplit w:val="0"/>
              <w:trHeight w:val="497.83867418511903" w:hRule="atLeast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Hemograma completo 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97.83867418511903" w:hRule="atLeast"/>
              <w:tblHeader w:val="0"/>
            </w:trPr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Creatinina en suero </w:t>
                </w:r>
              </w:p>
            </w:tc>
          </w:tr>
          <w:tr>
            <w:trPr>
              <w:cantSplit w:val="0"/>
              <w:trHeight w:val="497.83867418511903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Transaminasas AST-GOT</w:t>
                </w:r>
              </w:p>
            </w:tc>
          </w:tr>
          <w:tr>
            <w:trPr>
              <w:cantSplit w:val="0"/>
              <w:trHeight w:val="497.83867418511903" w:hRule="atLeast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Transaminasas ALT-GPT</w:t>
                </w:r>
              </w:p>
            </w:tc>
          </w:tr>
          <w:tr>
            <w:trPr>
              <w:cantSplit w:val="0"/>
              <w:trHeight w:val="497.8386741851190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Citoquímico o parcial de orina </w:t>
                </w:r>
              </w:p>
            </w:tc>
          </w:tr>
          <w:tr>
            <w:trPr>
              <w:cantSplit w:val="0"/>
              <w:trHeight w:val="497.83867418511903" w:hRule="atLeast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Prueba inmunologica de embarazo</w:t>
                </w:r>
              </w:p>
            </w:tc>
          </w:tr>
          <w:tr>
            <w:trPr>
              <w:cantSplit w:val="0"/>
              <w:trHeight w:val="497.8386741851190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Hemoclasificación RH</w:t>
                </w:r>
              </w:p>
            </w:tc>
          </w:tr>
          <w:tr>
            <w:trPr>
              <w:cantSplit w:val="0"/>
              <w:trHeight w:val="497.83867418511903" w:hRule="atLeast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Coprograma </w:t>
                </w:r>
              </w:p>
            </w:tc>
          </w:tr>
          <w:tr>
            <w:trPr>
              <w:cantSplit w:val="0"/>
              <w:trHeight w:val="497.8386741851190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coprológico</w:t>
                </w:r>
              </w:p>
            </w:tc>
          </w:tr>
          <w:tr>
            <w:trPr>
              <w:cantSplit w:val="0"/>
              <w:trHeight w:val="497.83867418511903" w:hRule="atLeast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KOH</w:t>
                </w:r>
              </w:p>
            </w:tc>
          </w:tr>
          <w:tr>
            <w:trPr>
              <w:cantSplit w:val="0"/>
              <w:trHeight w:val="497.8386741851190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Frotis faríngeo coloración gram </w:t>
                </w:r>
              </w:p>
            </w:tc>
          </w:tr>
          <w:tr>
            <w:trPr>
              <w:cantSplit w:val="0"/>
              <w:trHeight w:val="497.83867418511903" w:hRule="atLeast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Hemoglobina y hematocrito </w:t>
                </w:r>
              </w:p>
            </w:tc>
          </w:tr>
          <w:tr>
            <w:trPr>
              <w:cantSplit w:val="0"/>
              <w:trHeight w:val="497.8386741851190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Ácido úrico </w:t>
                </w:r>
              </w:p>
            </w:tc>
          </w:tr>
          <w:tr>
            <w:trPr>
              <w:cantSplit w:val="0"/>
              <w:trHeight w:val="497.83867418511903" w:hRule="atLeast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THC marihuana</w:t>
                </w:r>
              </w:p>
            </w:tc>
          </w:tr>
          <w:tr>
            <w:trPr>
              <w:cantSplit w:val="0"/>
              <w:trHeight w:val="497.8386741851190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Combo THC-Cocaina</w:t>
                </w:r>
              </w:p>
            </w:tc>
          </w:tr>
          <w:tr>
            <w:trPr>
              <w:cantSplit w:val="0"/>
              <w:trHeight w:val="497.83867418511903" w:hRule="atLeast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panel multi- drogas</w:t>
                </w:r>
              </w:p>
            </w:tc>
          </w:tr>
          <w:tr>
            <w:trPr>
              <w:cantSplit w:val="0"/>
              <w:trHeight w:val="497.8386741851190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TP</w:t>
                </w:r>
              </w:p>
            </w:tc>
          </w:tr>
          <w:tr>
            <w:trPr>
              <w:cantSplit w:val="0"/>
              <w:trHeight w:val="497.83867418511903" w:hRule="atLeast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TPT</w:t>
                </w:r>
              </w:p>
            </w:tc>
          </w:tr>
        </w:tbl>
      </w:sdtContent>
    </w:sdt>
    <w:p w:rsidR="00000000" w:rsidDel="00000000" w:rsidP="00000000" w:rsidRDefault="00000000" w:rsidRPr="00000000" w14:paraId="0000003F">
      <w:pPr>
        <w:spacing w:after="240" w:before="240" w:line="360" w:lineRule="auto"/>
        <w:jc w:val="both"/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4082822"/>
        <w:tag w:val="goog_rdk_2"/>
      </w:sdtPr>
      <w:sdtContent>
        <w:tbl>
          <w:tblPr>
            <w:tblStyle w:val="Table3"/>
            <w:tblW w:w="88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820"/>
            <w:tblGridChange w:id="0">
              <w:tblGrid>
                <w:gridCol w:w="8820"/>
              </w:tblGrid>
            </w:tblGridChange>
          </w:tblGrid>
          <w:tr>
            <w:trPr>
              <w:cantSplit w:val="0"/>
              <w:trHeight w:val="371.2600000000001" w:hRule="atLeast"/>
              <w:tblHeader w:val="0"/>
            </w:trPr>
            <w:tc>
              <w:tcPr>
                <w:tcBorders>
                  <w:right w:color="ffffff" w:space="0" w:sz="8" w:val="single"/>
                </w:tcBorders>
                <w:shd w:fill="07376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VACUNAS</w:t>
                </w:r>
              </w:p>
            </w:tc>
          </w:tr>
          <w:tr>
            <w:trPr>
              <w:cantSplit w:val="0"/>
              <w:trHeight w:val="371.2600000000001" w:hRule="atLeast"/>
              <w:tblHeader w:val="0"/>
            </w:trPr>
            <w:tc>
              <w:tcPr>
                <w:shd w:fill="07376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RELACION DE VACUNAS</w:t>
                </w:r>
              </w:p>
            </w:tc>
          </w:tr>
          <w:tr>
            <w:trPr>
              <w:cantSplit w:val="0"/>
              <w:trHeight w:val="137.5200000000001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Vacunas tétanos</w:t>
                </w:r>
              </w:p>
            </w:tc>
          </w:tr>
          <w:tr>
            <w:trPr>
              <w:cantSplit w:val="0"/>
              <w:trHeight w:val="371.2600000000001" w:hRule="atLeast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Vacuna hepatitis b</w:t>
                </w:r>
              </w:p>
            </w:tc>
          </w:tr>
          <w:tr>
            <w:trPr>
              <w:cantSplit w:val="0"/>
              <w:trHeight w:val="371.2600000000001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Titulación anticuerpos hepatitis b </w:t>
                </w:r>
              </w:p>
            </w:tc>
          </w:tr>
          <w:tr>
            <w:trPr>
              <w:cantSplit w:val="0"/>
              <w:trHeight w:val="371.2600000000001" w:hRule="atLeast"/>
              <w:tblHeader w:val="0"/>
            </w:trPr>
            <w:tc>
              <w:tcPr>
                <w:tcBorders>
                  <w:right w:color="ffffff" w:space="0" w:sz="8" w:val="single"/>
                </w:tcBorders>
                <w:shd w:fill="07376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BRIGADAS EXTRAMURALES</w:t>
                </w:r>
              </w:p>
            </w:tc>
          </w:tr>
          <w:tr>
            <w:trPr>
              <w:cantSplit w:val="0"/>
              <w:trHeight w:val="38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Las brigadas se realizan de 25 pacientes en adelante</w:t>
                </w:r>
              </w:p>
            </w:tc>
          </w:tr>
        </w:tbl>
      </w:sdtContent>
    </w:sdt>
    <w:p w:rsidR="00000000" w:rsidDel="00000000" w:rsidP="00000000" w:rsidRDefault="00000000" w:rsidRPr="00000000" w14:paraId="00000047">
      <w:pPr>
        <w:spacing w:after="240" w:before="240" w:lin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Nuestro portafolio incluye una amplia variedad de pruebas y exámenes especializados. Si no encuentra la prueba que necesita,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no dude en contactarnos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con gusto le brindaremos atención personalizada.</w:t>
      </w:r>
    </w:p>
    <w:p w:rsidR="00000000" w:rsidDel="00000000" w:rsidP="00000000" w:rsidRDefault="00000000" w:rsidRPr="00000000" w14:paraId="00000048">
      <w:pPr>
        <w:spacing w:after="240" w:before="240" w:lin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Las empresas tienen un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descuento especial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por volumen; si usted es cliente empresarial mediano o grande estamos abiertos a negociaciones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color w:val="323e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Horario de atención:</w:t>
        <w:br w:type="textWrapping"/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Lun – Vie: 7:00 a.m. – 12:00 m / 2:00 p.m. – 5:00 p.m.  Sáb: 8:00 a.m. – 11:00 a.m.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Tel / WhatsApp: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312 827 4796 | 531 13 54</w:t>
        <w:br w:type="textWrapping"/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Correo electrónico: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</w:r>
      <w:hyperlink r:id="rId9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calidad@labccosas.com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Con aprecio,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Montserrat" w:cs="Montserrat" w:eastAsia="Montserrat" w:hAnsi="Montserrat"/>
          <w:i w:val="1"/>
          <w:i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Raigosa B. Mateo,</w:t>
        <w:br w:type="textWrapping"/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Admon – LABCCO</w:t>
      </w:r>
    </w:p>
    <w:p w:rsidR="00000000" w:rsidDel="00000000" w:rsidP="00000000" w:rsidRDefault="00000000" w:rsidRPr="00000000" w14:paraId="0000004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 </w:t>
      </w:r>
    </w:p>
    <w:sectPr>
      <w:headerReference r:id="rId10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FE1F6E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E1F6E"/>
  </w:style>
  <w:style w:type="paragraph" w:styleId="Piedepgina">
    <w:name w:val="footer"/>
    <w:basedOn w:val="Normal"/>
    <w:link w:val="PiedepginaCar"/>
    <w:uiPriority w:val="99"/>
    <w:unhideWhenUsed w:val="1"/>
    <w:rsid w:val="00FE1F6E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E1F6E"/>
  </w:style>
  <w:style w:type="character" w:styleId="Hipervnculo">
    <w:name w:val="Hyperlink"/>
    <w:basedOn w:val="Fuentedeprrafopredeter"/>
    <w:uiPriority w:val="99"/>
    <w:unhideWhenUsed w:val="1"/>
    <w:rsid w:val="005B68F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5B68F8"/>
    <w:rPr>
      <w:color w:val="605e5c"/>
      <w:shd w:color="auto" w:fill="e1dfdd" w:val="clear"/>
    </w:rPr>
  </w:style>
  <w:style w:type="character" w:styleId="TtuloCar" w:customStyle="1">
    <w:name w:val="Título Car"/>
    <w:basedOn w:val="Fuentedeprrafopredeter"/>
    <w:link w:val="Ttulo"/>
    <w:uiPriority w:val="10"/>
    <w:rsid w:val="006A6F7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mailto:calidad@labccosas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o3H3nmjRFMfOwzQyj9E0zCEIFA==">CgMxLjAaHwoBMBIaChgICVIUChJ0YWJsZS5xOWN4bzNjeHZqbTEaHwoBMRIaChgICVIUChJ0YWJsZS5nYzJhd3Jmbmdvd3EaHwoBMhIaChgICVIUChJ0YWJsZS5rbnI0b29waTZkZGo4AGpIChRzdWdnZXN0Lnc0OGZuNzhneGJvZRIwTEFCQ0NPIExBQk9SQVRPUklPIENMSU5JQ08gQ09MT01CSUFOTyBERSBPUklFTlRFciExblBmckI4NzhGSjhVX0RCR1N0SWJnSGs5cHJzbmxxRF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2022-06-10T16:29:00Z</dcterms:created>
  <dc:creator>fondosword.com</dc:creator>
</cp:coreProperties>
</file>