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04f28dbd8c4b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6"/>
          <w:szCs w:val="36"/>
        </w:rPr>
        <w:t>الرقم: ق س ج/160/11/1     التاريخ:29-03-2021 م     الموافق: 16-08-1442هـ</w:t>
      </w:r>
    </w:p>
    <w:p>
      <w:pPr/>
      <w:r>
        <w:rPr>
          <w:lang w:val="ar-SA"/>
        </w:rPr>
        <w:br/>
      </w:r>
    </w:p>
    <w:tbl>
      <w:tblPr>
        <w:tblStyle w:val="TableGrid"/>
        <w:tblW w:w="11000" w:type="dxa"/>
        <w:tblLayout w:type="fixed"/>
        <w:tblLook w:val="04A0"/>
        <w:jc w:val="center"/>
      </w:tblPr>
      <w:tblGrid>
        <w:gridCol w:w="2400"/>
        <w:gridCol w:w="1400"/>
        <w:gridCol w:w="2000"/>
        <w:gridCol w:w="1400"/>
        <w:gridCol w:w="1400"/>
        <w:gridCol w:w="2400"/>
      </w:tblGrid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مجموع المعاملات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شهادات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افادات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مخاطبة لتأشيرة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إقرارات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الأول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الثاني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الثالث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الرابع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الخامس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 xml:space="preserve"> المجموع</w:t>
            </w:r>
          </w:p>
        </w:tc>
      </w:tr>
    </w:tbl>
    <w:p>
      <w:pPr>
        <w:jc w:val="left"/>
      </w:pP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لبيب محمد أحمد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ع/ القنصل العام بالإنابة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810ca9a9cc4472" /><Relationship Type="http://schemas.openxmlformats.org/officeDocument/2006/relationships/numbering" Target="/word/numbering.xml" Id="R89813981ebdb4f48" /><Relationship Type="http://schemas.openxmlformats.org/officeDocument/2006/relationships/settings" Target="/word/settings.xml" Id="R76164f3890304931" /></Relationships>
</file>